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5BB0D">
      <w:pPr>
        <w:ind w:firstLine="0" w:firstLineChars="0"/>
        <w:rPr>
          <w:rFonts w:hint="eastAsia" w:ascii="黑体" w:hAnsi="黑体" w:eastAsia="仿宋_GB2312" w:cs="黑体"/>
          <w:color w:val="auto"/>
          <w:spacing w:val="0"/>
          <w:szCs w:val="32"/>
          <w:highlight w:val="none"/>
          <w:lang w:val="en-US" w:eastAsia="zh-CN"/>
        </w:rPr>
      </w:pPr>
      <w:bookmarkStart w:id="0" w:name="_Toc10638"/>
      <w:bookmarkStart w:id="1" w:name="_Toc25810"/>
      <w:bookmarkStart w:id="2" w:name="_Toc19625"/>
      <w:bookmarkStart w:id="3" w:name="_Toc9185"/>
      <w:bookmarkStart w:id="4" w:name="_Toc13649"/>
    </w:p>
    <w:p w14:paraId="47BA6048">
      <w:pPr>
        <w:ind w:firstLine="0" w:firstLineChars="0"/>
        <w:rPr>
          <w:rFonts w:ascii="黑体" w:hAnsi="黑体" w:eastAsia="黑体" w:cs="黑体"/>
          <w:color w:val="auto"/>
          <w:spacing w:val="0"/>
          <w:szCs w:val="32"/>
          <w:highlight w:val="none"/>
        </w:rPr>
      </w:pPr>
    </w:p>
    <w:p w14:paraId="352CFB20">
      <w:pPr>
        <w:ind w:firstLine="0" w:firstLineChars="0"/>
        <w:rPr>
          <w:rFonts w:ascii="黑体" w:hAnsi="黑体" w:eastAsia="黑体" w:cs="黑体"/>
          <w:color w:val="auto"/>
          <w:spacing w:val="0"/>
          <w:szCs w:val="32"/>
          <w:highlight w:val="none"/>
        </w:rPr>
      </w:pPr>
    </w:p>
    <w:bookmarkEnd w:id="0"/>
    <w:bookmarkEnd w:id="1"/>
    <w:bookmarkEnd w:id="2"/>
    <w:bookmarkEnd w:id="3"/>
    <w:bookmarkEnd w:id="4"/>
    <w:p w14:paraId="1BAB9576">
      <w:pPr>
        <w:pStyle w:val="20"/>
        <w:keepNext w:val="0"/>
        <w:keepLines w:val="0"/>
        <w:pageBreakBefore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color w:val="auto"/>
          <w:spacing w:val="0"/>
          <w:sz w:val="32"/>
          <w:szCs w:val="20"/>
          <w:highlight w:val="none"/>
          <w:lang w:eastAsia="zh-CN"/>
        </w:rPr>
      </w:pPr>
    </w:p>
    <w:p w14:paraId="482D5082">
      <w:pPr>
        <w:pStyle w:val="20"/>
        <w:keepNext w:val="0"/>
        <w:keepLines w:val="0"/>
        <w:pageBreakBefore w:val="0"/>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color w:val="auto"/>
          <w:spacing w:val="0"/>
          <w:sz w:val="32"/>
          <w:szCs w:val="20"/>
          <w:highlight w:val="none"/>
          <w:lang w:eastAsia="zh-CN"/>
        </w:rPr>
      </w:pPr>
    </w:p>
    <w:p w14:paraId="7473ABA6">
      <w:pPr>
        <w:adjustRightInd w:val="0"/>
        <w:snapToGrid w:val="0"/>
        <w:spacing w:line="900" w:lineRule="exact"/>
        <w:ind w:firstLine="0" w:firstLineChars="0"/>
        <w:jc w:val="center"/>
        <w:rPr>
          <w:rFonts w:hint="eastAsia" w:ascii="方正小标宋简体" w:hAnsi="方正小标宋简体" w:eastAsia="方正小标宋简体" w:cs="方正小标宋简体"/>
          <w:bCs/>
          <w:color w:val="auto"/>
          <w:spacing w:val="0"/>
          <w:position w:val="4"/>
          <w:sz w:val="44"/>
          <w:szCs w:val="44"/>
          <w:highlight w:val="none"/>
          <w:lang w:val="en-US" w:eastAsia="zh-CN"/>
        </w:rPr>
      </w:pPr>
      <w:bookmarkStart w:id="5" w:name="_Toc1991539113"/>
      <w:r>
        <w:rPr>
          <w:rFonts w:hint="eastAsia" w:ascii="方正小标宋简体" w:hAnsi="方正小标宋简体" w:eastAsia="方正小标宋简体" w:cs="方正小标宋简体"/>
          <w:bCs/>
          <w:color w:val="auto"/>
          <w:spacing w:val="0"/>
          <w:position w:val="4"/>
          <w:sz w:val="44"/>
          <w:szCs w:val="44"/>
          <w:highlight w:val="none"/>
          <w:lang w:val="en-US" w:eastAsia="zh-CN"/>
        </w:rPr>
        <w:t>数字崇明“十五五”发展规划</w:t>
      </w:r>
      <w:bookmarkEnd w:id="5"/>
    </w:p>
    <w:p w14:paraId="73DC97E8">
      <w:pPr>
        <w:pStyle w:val="20"/>
        <w:keepNext w:val="0"/>
        <w:keepLines w:val="0"/>
        <w:pageBreakBefore w:val="0"/>
        <w:widowControl/>
        <w:kinsoku/>
        <w:wordWrap/>
        <w:overflowPunct/>
        <w:topLinePunct w:val="0"/>
        <w:autoSpaceDE/>
        <w:autoSpaceDN/>
        <w:bidi w:val="0"/>
        <w:adjustRightInd/>
        <w:snapToGrid/>
        <w:spacing w:line="560" w:lineRule="exact"/>
        <w:textAlignment w:val="auto"/>
        <w:outlineLvl w:val="8"/>
        <w:rPr>
          <w:rFonts w:hint="eastAsia" w:ascii="仿宋_GB2312" w:hAnsi="仿宋_GB2312" w:eastAsia="仿宋_GB2312" w:cs="Times New Roman"/>
          <w:color w:val="auto"/>
          <w:spacing w:val="0"/>
          <w:sz w:val="32"/>
          <w:szCs w:val="20"/>
          <w:highlight w:val="none"/>
          <w:lang w:eastAsia="zh-CN"/>
        </w:rPr>
      </w:pPr>
      <w:bookmarkStart w:id="6" w:name="_Toc685041538"/>
      <w:r>
        <w:rPr>
          <w:rFonts w:hint="eastAsia" w:ascii="仿宋_GB2312" w:hAnsi="仿宋_GB2312" w:eastAsia="仿宋_GB2312" w:cs="Times New Roman"/>
          <w:color w:val="auto"/>
          <w:spacing w:val="0"/>
          <w:sz w:val="32"/>
          <w:szCs w:val="20"/>
          <w:highlight w:val="none"/>
          <w:lang w:eastAsia="zh-CN"/>
        </w:rPr>
        <w:t>（</w:t>
      </w:r>
      <w:r>
        <w:rPr>
          <w:rFonts w:hint="eastAsia" w:ascii="仿宋_GB2312" w:hAnsi="仿宋_GB2312" w:eastAsia="仿宋_GB2312" w:cs="Times New Roman"/>
          <w:color w:val="auto"/>
          <w:spacing w:val="0"/>
          <w:sz w:val="32"/>
          <w:szCs w:val="20"/>
          <w:highlight w:val="none"/>
          <w:lang w:val="en-US" w:eastAsia="zh-CN"/>
        </w:rPr>
        <w:t>征求意见稿</w:t>
      </w:r>
      <w:r>
        <w:rPr>
          <w:rFonts w:hint="eastAsia" w:ascii="仿宋_GB2312" w:hAnsi="仿宋_GB2312" w:eastAsia="仿宋_GB2312" w:cs="Times New Roman"/>
          <w:color w:val="auto"/>
          <w:spacing w:val="0"/>
          <w:sz w:val="32"/>
          <w:szCs w:val="20"/>
          <w:highlight w:val="none"/>
          <w:lang w:eastAsia="zh-CN"/>
        </w:rPr>
        <w:t>）</w:t>
      </w:r>
      <w:bookmarkEnd w:id="6"/>
    </w:p>
    <w:p w14:paraId="1EC19836">
      <w:pPr>
        <w:snapToGrid w:val="0"/>
        <w:spacing w:line="500" w:lineRule="exact"/>
        <w:ind w:firstLine="0" w:firstLineChars="0"/>
        <w:jc w:val="center"/>
        <w:rPr>
          <w:rFonts w:eastAsia="华文中宋" w:cs="Times New Roman"/>
          <w:b/>
          <w:bCs/>
          <w:color w:val="auto"/>
          <w:spacing w:val="0"/>
          <w:sz w:val="44"/>
          <w:szCs w:val="44"/>
          <w:highlight w:val="none"/>
        </w:rPr>
      </w:pPr>
    </w:p>
    <w:p w14:paraId="71851469">
      <w:pPr>
        <w:snapToGrid w:val="0"/>
        <w:spacing w:line="500" w:lineRule="exact"/>
        <w:ind w:firstLine="0" w:firstLineChars="0"/>
        <w:jc w:val="center"/>
        <w:rPr>
          <w:rFonts w:eastAsia="华文中宋" w:cs="Times New Roman"/>
          <w:b/>
          <w:bCs/>
          <w:color w:val="auto"/>
          <w:spacing w:val="0"/>
          <w:sz w:val="44"/>
          <w:szCs w:val="44"/>
          <w:highlight w:val="none"/>
        </w:rPr>
      </w:pPr>
    </w:p>
    <w:p w14:paraId="1B5CC746">
      <w:pPr>
        <w:snapToGrid w:val="0"/>
        <w:ind w:firstLine="0" w:firstLineChars="0"/>
        <w:jc w:val="center"/>
        <w:rPr>
          <w:rFonts w:eastAsia="华文中宋" w:cs="Times New Roman"/>
          <w:b/>
          <w:bCs/>
          <w:color w:val="auto"/>
          <w:spacing w:val="0"/>
          <w:sz w:val="32"/>
          <w:szCs w:val="32"/>
          <w:highlight w:val="none"/>
        </w:rPr>
      </w:pPr>
    </w:p>
    <w:p w14:paraId="0DD9283B">
      <w:pPr>
        <w:pStyle w:val="2"/>
        <w:rPr>
          <w:rFonts w:eastAsia="华文中宋" w:cs="Times New Roman"/>
          <w:b/>
          <w:bCs/>
          <w:color w:val="auto"/>
          <w:spacing w:val="0"/>
          <w:sz w:val="32"/>
          <w:szCs w:val="32"/>
          <w:highlight w:val="none"/>
        </w:rPr>
      </w:pPr>
    </w:p>
    <w:p w14:paraId="76BAB4D3">
      <w:pPr>
        <w:rPr>
          <w:rFonts w:eastAsia="华文中宋" w:cs="Times New Roman"/>
          <w:b/>
          <w:bCs/>
          <w:color w:val="auto"/>
          <w:spacing w:val="0"/>
          <w:sz w:val="32"/>
          <w:szCs w:val="32"/>
          <w:highlight w:val="none"/>
        </w:rPr>
      </w:pPr>
    </w:p>
    <w:p w14:paraId="1E525CBF">
      <w:pPr>
        <w:pStyle w:val="2"/>
        <w:rPr>
          <w:rFonts w:eastAsia="华文中宋" w:cs="Times New Roman"/>
          <w:b/>
          <w:bCs/>
          <w:color w:val="auto"/>
          <w:spacing w:val="0"/>
          <w:sz w:val="32"/>
          <w:szCs w:val="32"/>
          <w:highlight w:val="none"/>
        </w:rPr>
      </w:pPr>
    </w:p>
    <w:p w14:paraId="7FC367EC">
      <w:pPr>
        <w:rPr>
          <w:rFonts w:eastAsia="华文中宋" w:cs="Times New Roman"/>
          <w:b/>
          <w:bCs/>
          <w:color w:val="auto"/>
          <w:spacing w:val="0"/>
          <w:sz w:val="32"/>
          <w:szCs w:val="32"/>
          <w:highlight w:val="none"/>
        </w:rPr>
      </w:pPr>
    </w:p>
    <w:p w14:paraId="6E96F741">
      <w:pPr>
        <w:pStyle w:val="2"/>
        <w:rPr>
          <w:rFonts w:eastAsia="华文中宋" w:cs="Times New Roman"/>
          <w:b/>
          <w:bCs/>
          <w:color w:val="auto"/>
          <w:spacing w:val="0"/>
          <w:sz w:val="32"/>
          <w:szCs w:val="32"/>
          <w:highlight w:val="none"/>
        </w:rPr>
      </w:pPr>
    </w:p>
    <w:p w14:paraId="70E3827C">
      <w:pPr>
        <w:rPr>
          <w:highlight w:val="none"/>
        </w:rPr>
      </w:pPr>
    </w:p>
    <w:p w14:paraId="70D8D3C7">
      <w:pPr>
        <w:snapToGrid w:val="0"/>
        <w:ind w:firstLine="0" w:firstLineChars="0"/>
        <w:jc w:val="center"/>
        <w:rPr>
          <w:rFonts w:eastAsia="华文中宋" w:cs="Times New Roman"/>
          <w:b/>
          <w:bCs/>
          <w:color w:val="auto"/>
          <w:spacing w:val="0"/>
          <w:sz w:val="32"/>
          <w:szCs w:val="32"/>
          <w:highlight w:val="none"/>
        </w:rPr>
      </w:pPr>
    </w:p>
    <w:p w14:paraId="33D489E2">
      <w:pPr>
        <w:snapToGrid w:val="0"/>
        <w:ind w:firstLine="0" w:firstLineChars="0"/>
        <w:jc w:val="center"/>
        <w:rPr>
          <w:rFonts w:eastAsia="华文中宋" w:cs="Times New Roman"/>
          <w:b/>
          <w:bCs/>
          <w:color w:val="auto"/>
          <w:spacing w:val="0"/>
          <w:sz w:val="32"/>
          <w:szCs w:val="32"/>
          <w:highlight w:val="none"/>
        </w:rPr>
      </w:pPr>
    </w:p>
    <w:p w14:paraId="5CDE364A">
      <w:pPr>
        <w:snapToGrid w:val="0"/>
        <w:ind w:firstLine="0" w:firstLineChars="0"/>
        <w:jc w:val="center"/>
        <w:rPr>
          <w:rFonts w:eastAsia="华文中宋" w:cs="Times New Roman"/>
          <w:b/>
          <w:bCs/>
          <w:color w:val="auto"/>
          <w:spacing w:val="0"/>
          <w:sz w:val="32"/>
          <w:szCs w:val="32"/>
          <w:highlight w:val="none"/>
        </w:rPr>
      </w:pPr>
    </w:p>
    <w:p w14:paraId="1ADAF6B9">
      <w:pPr>
        <w:pStyle w:val="2"/>
        <w:rPr>
          <w:color w:val="auto"/>
          <w:spacing w:val="0"/>
          <w:highlight w:val="none"/>
        </w:rPr>
      </w:pPr>
    </w:p>
    <w:p w14:paraId="1331455F">
      <w:pPr>
        <w:snapToGrid w:val="0"/>
        <w:spacing w:line="240" w:lineRule="auto"/>
        <w:ind w:firstLine="0" w:firstLineChars="0"/>
        <w:jc w:val="center"/>
        <w:rPr>
          <w:rFonts w:hint="eastAsia" w:ascii="楷体_GB2312" w:hAnsi="楷体_GB2312" w:eastAsia="楷体_GB2312" w:cs="Times New Roman"/>
          <w:color w:val="auto"/>
          <w:spacing w:val="0"/>
          <w:sz w:val="36"/>
          <w:szCs w:val="36"/>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pgNumType w:fmt="numberInDash" w:start="1"/>
          <w:cols w:space="0" w:num="1"/>
          <w:docGrid w:type="lines" w:linePitch="410" w:charSpace="0"/>
        </w:sectPr>
      </w:pPr>
      <w:r>
        <w:rPr>
          <w:rFonts w:hint="eastAsia" w:eastAsia="楷体_GB2312" w:cs="楷体_GB2312"/>
          <w:color w:val="auto"/>
          <w:spacing w:val="0"/>
          <w:sz w:val="36"/>
          <w:szCs w:val="36"/>
          <w:highlight w:val="none"/>
        </w:rPr>
        <w:t>上海市崇明区</w:t>
      </w:r>
      <w:r>
        <w:rPr>
          <w:rFonts w:hint="eastAsia" w:eastAsia="楷体_GB2312" w:cs="楷体_GB2312"/>
          <w:color w:val="auto"/>
          <w:spacing w:val="0"/>
          <w:sz w:val="36"/>
          <w:szCs w:val="36"/>
          <w:highlight w:val="none"/>
          <w:lang w:eastAsia="zh-CN"/>
        </w:rPr>
        <w:t>数据局</w:t>
      </w:r>
    </w:p>
    <w:p w14:paraId="7B18FD49">
      <w:pPr>
        <w:widowControl/>
        <w:snapToGrid w:val="0"/>
        <w:spacing w:line="560" w:lineRule="exact"/>
        <w:ind w:firstLine="0" w:firstLineChars="0"/>
        <w:jc w:val="center"/>
        <w:rPr>
          <w:rFonts w:eastAsia="黑体" w:cs="黑体"/>
          <w:b/>
          <w:bCs/>
          <w:color w:val="auto"/>
          <w:spacing w:val="0"/>
          <w:sz w:val="36"/>
          <w:szCs w:val="36"/>
          <w:highlight w:val="none"/>
        </w:rPr>
      </w:pPr>
      <w:r>
        <w:rPr>
          <w:rFonts w:hint="eastAsia" w:eastAsia="黑体" w:cs="黑体"/>
          <w:b/>
          <w:bCs/>
          <w:color w:val="auto"/>
          <w:spacing w:val="0"/>
          <w:sz w:val="36"/>
          <w:szCs w:val="36"/>
          <w:highlight w:val="none"/>
        </w:rPr>
        <w:t>前言</w:t>
      </w:r>
    </w:p>
    <w:p w14:paraId="3A8061D1">
      <w:pPr>
        <w:snapToGrid w:val="0"/>
        <w:spacing w:line="560" w:lineRule="exact"/>
        <w:ind w:firstLine="640"/>
        <w:rPr>
          <w:rFonts w:ascii="仿宋_GB2312" w:hAnsi="仿宋_GB2312" w:cs="仿宋_GB2312"/>
          <w:color w:val="auto"/>
          <w:spacing w:val="0"/>
          <w:sz w:val="32"/>
          <w:szCs w:val="22"/>
          <w:highlight w:val="none"/>
        </w:rPr>
      </w:pPr>
    </w:p>
    <w:p w14:paraId="581E00F1">
      <w:pPr>
        <w:pStyle w:val="34"/>
        <w:snapToGrid w:val="0"/>
        <w:spacing w:line="560" w:lineRule="exact"/>
        <w:ind w:firstLine="600"/>
        <w:rPr>
          <w:rFonts w:hint="eastAsia"/>
          <w:color w:val="auto"/>
          <w:highlight w:val="none"/>
        </w:rPr>
      </w:pPr>
      <w:r>
        <w:rPr>
          <w:rFonts w:hint="eastAsia"/>
          <w:color w:val="auto"/>
          <w:highlight w:val="none"/>
        </w:rPr>
        <w:t>“十五五”时期</w:t>
      </w:r>
      <w:r>
        <w:rPr>
          <w:rFonts w:hint="eastAsia"/>
          <w:color w:val="auto"/>
          <w:highlight w:val="none"/>
          <w:lang w:eastAsia="zh-CN"/>
        </w:rPr>
        <w:t>，</w:t>
      </w:r>
      <w:r>
        <w:rPr>
          <w:rFonts w:hint="eastAsia"/>
          <w:color w:val="auto"/>
          <w:highlight w:val="none"/>
        </w:rPr>
        <w:t>是我国全面建设社会主义现代化国家新征程的关键五年</w:t>
      </w:r>
      <w:r>
        <w:rPr>
          <w:rFonts w:hint="eastAsia"/>
          <w:color w:val="auto"/>
          <w:highlight w:val="none"/>
          <w:lang w:eastAsia="zh-CN"/>
        </w:rPr>
        <w:t>，</w:t>
      </w:r>
      <w:r>
        <w:rPr>
          <w:rFonts w:hint="eastAsia"/>
          <w:color w:val="auto"/>
          <w:highlight w:val="none"/>
        </w:rPr>
        <w:t>是上海加快建设“五个中心”、提升城市能级与核心竞争力的攻坚阶段，也是崇明立足世界级生态岛建设目标、推动数字化赋能高质量发展的战略机遇期。面对全球数字化浪潮的深刻变革，新一代信息技术加速创新突破，数据要素价值日益凸显，为崇明探索生态优先、绿色发展新路径提供了强大动能。</w:t>
      </w:r>
    </w:p>
    <w:p w14:paraId="32BB617C">
      <w:pPr>
        <w:pStyle w:val="34"/>
        <w:snapToGrid w:val="0"/>
        <w:spacing w:line="560" w:lineRule="exact"/>
        <w:ind w:firstLine="600"/>
        <w:rPr>
          <w:rFonts w:hint="eastAsia"/>
          <w:color w:val="auto"/>
          <w:highlight w:val="none"/>
        </w:rPr>
      </w:pPr>
      <w:r>
        <w:rPr>
          <w:rFonts w:hint="eastAsia"/>
          <w:color w:val="auto"/>
          <w:highlight w:val="none"/>
        </w:rPr>
        <w:t>为深入贯彻落实数字中国战略部署，紧扣上海城市数字化转型总体要求，崇明区立足生态本底优势，以数字化驱动生产、生活、治理方式系统性重塑，构建数字技术与生态保护、经济发展、社会治理深度融合的新格局。《数字崇明“十五五”发展规划》依据国家及上海市关于数字化发展的战略导向，对标《崇明世界级生态岛发展规划纲要（2021—2035年）》等顶层设计，结合区域实际制定，旨在明确未来五年崇明数字化发展的目标、路径与重点任务，为</w:t>
      </w:r>
      <w:r>
        <w:rPr>
          <w:rFonts w:hint="eastAsia"/>
          <w:color w:val="auto"/>
          <w:highlight w:val="none"/>
          <w:lang w:val="en-US" w:eastAsia="zh-CN"/>
        </w:rPr>
        <w:t>推动数字崇明建设</w:t>
      </w:r>
      <w:r>
        <w:rPr>
          <w:rFonts w:hint="eastAsia"/>
          <w:color w:val="auto"/>
          <w:highlight w:val="none"/>
        </w:rPr>
        <w:t>提供行动指南。</w:t>
      </w:r>
    </w:p>
    <w:p w14:paraId="1D1E22D6">
      <w:pPr>
        <w:pStyle w:val="34"/>
        <w:snapToGrid w:val="0"/>
        <w:spacing w:line="560" w:lineRule="exact"/>
        <w:ind w:firstLine="600"/>
        <w:rPr>
          <w:rFonts w:hint="eastAsia"/>
          <w:color w:val="auto"/>
          <w:highlight w:val="none"/>
        </w:rPr>
      </w:pPr>
      <w:r>
        <w:rPr>
          <w:rFonts w:hint="eastAsia"/>
          <w:color w:val="auto"/>
          <w:highlight w:val="none"/>
        </w:rPr>
        <w:t>本规划聚焦基础设施筑基、数据要素激活、产业创新升级、治理效能提升、民生服务优化等关键领域，统筹布局泛在智能的数字底座、高效协同的应用场景、安全可控的保障体系</w:t>
      </w:r>
      <w:r>
        <w:rPr>
          <w:rFonts w:hint="eastAsia"/>
          <w:color w:val="auto"/>
          <w:highlight w:val="none"/>
          <w:lang w:eastAsia="zh-CN"/>
        </w:rPr>
        <w:t>。</w:t>
      </w:r>
      <w:r>
        <w:rPr>
          <w:rFonts w:hint="eastAsia"/>
          <w:color w:val="auto"/>
          <w:highlight w:val="none"/>
          <w:lang w:val="en-US" w:eastAsia="zh-CN"/>
        </w:rPr>
        <w:t>力争到2030年建成长三角数字生态创新高地，</w:t>
      </w:r>
      <w:r>
        <w:rPr>
          <w:rFonts w:hint="eastAsia"/>
          <w:color w:val="auto"/>
          <w:highlight w:val="none"/>
        </w:rPr>
        <w:t>为上海社会主义现代化国际大都市建设贡献崇明智慧。</w:t>
      </w:r>
    </w:p>
    <w:p w14:paraId="6D8449E7">
      <w:pPr>
        <w:pStyle w:val="34"/>
        <w:snapToGrid w:val="0"/>
        <w:spacing w:line="560" w:lineRule="exact"/>
        <w:ind w:firstLine="600"/>
        <w:rPr>
          <w:rFonts w:hint="eastAsia"/>
          <w:color w:val="auto"/>
          <w:highlight w:val="none"/>
        </w:rPr>
      </w:pPr>
    </w:p>
    <w:p w14:paraId="1B54C538">
      <w:pPr>
        <w:pStyle w:val="20"/>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8"/>
        <w:rPr>
          <w:rFonts w:hint="eastAsia" w:ascii="Times New Roman" w:hAnsi="Times New Roman" w:eastAsia="方正公文小标宋" w:cs="方正公文小标宋"/>
          <w:color w:val="auto"/>
          <w:sz w:val="32"/>
          <w:szCs w:val="32"/>
          <w:highlight w:val="none"/>
        </w:rPr>
      </w:pPr>
    </w:p>
    <w:p w14:paraId="1EE80D77">
      <w:pPr>
        <w:pStyle w:val="11"/>
        <w:keepNext/>
        <w:keepLines/>
        <w:pageBreakBefore w:val="0"/>
        <w:widowControl/>
        <w:kinsoku/>
        <w:wordWrap/>
        <w:overflowPunct/>
        <w:topLinePunct w:val="0"/>
        <w:autoSpaceDE/>
        <w:autoSpaceDN/>
        <w:bidi w:val="0"/>
        <w:adjustRightInd/>
        <w:snapToGrid/>
        <w:ind w:left="0" w:leftChars="0" w:firstLine="0" w:firstLineChars="0"/>
        <w:jc w:val="center"/>
        <w:textAlignment w:val="auto"/>
        <w:outlineLvl w:val="8"/>
        <w:rPr>
          <w:rFonts w:hint="eastAsia" w:ascii="黑体" w:hAnsi="黑体" w:eastAsia="黑体" w:cs="黑体"/>
          <w:color w:val="auto"/>
          <w:sz w:val="44"/>
          <w:szCs w:val="44"/>
          <w:highlight w:val="none"/>
          <w:lang w:val="en-US" w:eastAsia="zh-CN"/>
        </w:rPr>
      </w:pPr>
      <w:bookmarkStart w:id="7" w:name="_Toc131"/>
      <w:bookmarkStart w:id="8" w:name="_Toc24571"/>
      <w:bookmarkStart w:id="9" w:name="_Toc205363145"/>
      <w:bookmarkStart w:id="10" w:name="_Toc205207069"/>
      <w:bookmarkStart w:id="11" w:name="_Toc26002"/>
      <w:bookmarkStart w:id="12" w:name="_Toc30722"/>
      <w:bookmarkStart w:id="13" w:name="_Toc298166130"/>
      <w:bookmarkStart w:id="14" w:name="_Toc5574"/>
      <w:r>
        <w:rPr>
          <w:rFonts w:hint="eastAsia" w:ascii="黑体" w:hAnsi="黑体" w:eastAsia="黑体" w:cs="黑体"/>
          <w:color w:val="auto"/>
          <w:sz w:val="44"/>
          <w:szCs w:val="44"/>
          <w:highlight w:val="none"/>
          <w:lang w:val="en-US" w:eastAsia="zh-CN"/>
        </w:rPr>
        <w:t>目录</w:t>
      </w:r>
    </w:p>
    <w:p w14:paraId="5338B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en-US" w:eastAsia="zh-CN"/>
        </w:rPr>
      </w:pPr>
    </w:p>
    <w:p w14:paraId="0E76EAC3">
      <w:pPr>
        <w:pStyle w:val="17"/>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color w:val="auto"/>
          <w:spacing w:val="0"/>
          <w:highlight w:val="none"/>
          <w:lang w:val="en-US" w:eastAsia="zh-CN"/>
        </w:rPr>
        <w:instrText xml:space="preserve">TOC \o "1-2" \h \u </w:instrText>
      </w:r>
      <w:r>
        <w:rPr>
          <w:rFonts w:hint="eastAsia" w:ascii="仿宋_GB2312" w:hAnsi="仿宋_GB2312" w:eastAsia="仿宋_GB2312" w:cs="仿宋_GB2312"/>
          <w:color w:val="auto"/>
          <w:spacing w:val="0"/>
          <w:highlight w:val="none"/>
          <w:lang w:val="en-US" w:eastAsia="zh-CN"/>
        </w:rPr>
        <w:fldChar w:fldCharType="separate"/>
      </w: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_Toc11470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bCs/>
          <w:spacing w:val="0"/>
          <w:kern w:val="44"/>
          <w:szCs w:val="36"/>
          <w:highlight w:val="none"/>
          <w:lang w:val="en-US" w:eastAsia="zh-CN" w:bidi="ar-SA"/>
        </w:rPr>
        <w:t>第一章、把握新机遇，顺应数字化发展浪潮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_Toc11470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5F4F9093">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_Toc9928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val="en-US" w:eastAsia="zh-CN"/>
        </w:rPr>
        <w:t>一、</w:t>
      </w:r>
      <w:r>
        <w:rPr>
          <w:rFonts w:hint="eastAsia" w:ascii="仿宋_GB2312" w:hAnsi="仿宋_GB2312" w:eastAsia="仿宋_GB2312" w:cs="仿宋_GB2312"/>
          <w:spacing w:val="0"/>
          <w:highlight w:val="none"/>
        </w:rPr>
        <w:t>“十四五”期间数字崇明发展回顾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_Toc9928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48128378">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_Toc30652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val="en-US" w:eastAsia="zh-CN"/>
        </w:rPr>
        <w:t>二、</w:t>
      </w:r>
      <w:r>
        <w:rPr>
          <w:rFonts w:hint="eastAsia" w:ascii="仿宋_GB2312" w:hAnsi="仿宋_GB2312" w:eastAsia="仿宋_GB2312" w:cs="仿宋_GB2312"/>
          <w:spacing w:val="0"/>
          <w:highlight w:val="none"/>
          <w:lang w:val="en-US" w:eastAsia="zh-CN"/>
        </w:rPr>
        <w:t>“十五五”期间数字崇明发展的机遇与挑战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_Toc30652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20C3388E">
      <w:pPr>
        <w:pStyle w:val="17"/>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_Toc24554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val="en-US" w:eastAsia="zh-CN"/>
        </w:rPr>
        <w:t>第二章、聚焦</w:t>
      </w:r>
      <w:r>
        <w:rPr>
          <w:rFonts w:hint="eastAsia" w:ascii="仿宋_GB2312" w:hAnsi="仿宋_GB2312" w:eastAsia="仿宋_GB2312" w:cs="仿宋_GB2312"/>
          <w:spacing w:val="0"/>
          <w:highlight w:val="none"/>
        </w:rPr>
        <w:t>世界</w:t>
      </w:r>
      <w:r>
        <w:rPr>
          <w:rFonts w:hint="eastAsia" w:ascii="仿宋_GB2312" w:hAnsi="仿宋_GB2312" w:eastAsia="仿宋_GB2312" w:cs="仿宋_GB2312"/>
          <w:spacing w:val="0"/>
          <w:highlight w:val="none"/>
          <w:lang w:val="en-US" w:eastAsia="zh-CN"/>
        </w:rPr>
        <w:t>级</w:t>
      </w:r>
      <w:r>
        <w:rPr>
          <w:rFonts w:hint="eastAsia" w:ascii="仿宋_GB2312" w:hAnsi="仿宋_GB2312" w:eastAsia="仿宋_GB2312" w:cs="仿宋_GB2312"/>
          <w:spacing w:val="0"/>
          <w:highlight w:val="none"/>
        </w:rPr>
        <w:t>生态岛建设</w:t>
      </w:r>
      <w:r>
        <w:rPr>
          <w:rFonts w:hint="eastAsia" w:ascii="仿宋_GB2312" w:hAnsi="仿宋_GB2312" w:eastAsia="仿宋_GB2312" w:cs="仿宋_GB2312"/>
          <w:spacing w:val="0"/>
          <w:highlight w:val="none"/>
          <w:lang w:val="en-US" w:eastAsia="zh-CN"/>
        </w:rPr>
        <w:t>目标</w:t>
      </w:r>
      <w:r>
        <w:rPr>
          <w:rFonts w:hint="eastAsia" w:ascii="仿宋_GB2312" w:hAnsi="仿宋_GB2312" w:eastAsia="仿宋_GB2312" w:cs="仿宋_GB2312"/>
          <w:spacing w:val="0"/>
          <w:highlight w:val="none"/>
          <w:lang w:eastAsia="zh-CN"/>
        </w:rPr>
        <w:t>，</w:t>
      </w:r>
      <w:r>
        <w:rPr>
          <w:rFonts w:hint="eastAsia" w:ascii="仿宋_GB2312" w:hAnsi="仿宋_GB2312" w:eastAsia="仿宋_GB2312" w:cs="仿宋_GB2312"/>
          <w:spacing w:val="0"/>
          <w:highlight w:val="none"/>
        </w:rPr>
        <w:t>赋能</w:t>
      </w:r>
      <w:r>
        <w:rPr>
          <w:rFonts w:hint="eastAsia" w:ascii="仿宋_GB2312" w:hAnsi="仿宋_GB2312" w:eastAsia="仿宋_GB2312" w:cs="仿宋_GB2312"/>
          <w:spacing w:val="0"/>
          <w:highlight w:val="none"/>
          <w:lang w:val="en-US" w:eastAsia="zh-CN"/>
        </w:rPr>
        <w:t>新发展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_Toc24554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2F2DAF5E">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_Toc3891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一、</w:t>
      </w:r>
      <w:r>
        <w:rPr>
          <w:rFonts w:hint="eastAsia" w:ascii="仿宋_GB2312" w:hAnsi="仿宋_GB2312" w:eastAsia="仿宋_GB2312" w:cs="仿宋_GB2312"/>
          <w:spacing w:val="0"/>
          <w:szCs w:val="32"/>
          <w:highlight w:val="none"/>
        </w:rPr>
        <w:t>指导思想</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_Toc3891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0587483A">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_Toc7947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二、</w:t>
      </w:r>
      <w:r>
        <w:rPr>
          <w:rFonts w:hint="eastAsia" w:ascii="仿宋_GB2312" w:hAnsi="仿宋_GB2312" w:eastAsia="仿宋_GB2312" w:cs="仿宋_GB2312"/>
          <w:spacing w:val="0"/>
          <w:szCs w:val="32"/>
          <w:highlight w:val="none"/>
        </w:rPr>
        <w:t>基本原则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_Toc7947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548BC778">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_Toc22228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三、</w:t>
      </w:r>
      <w:r>
        <w:rPr>
          <w:rFonts w:hint="eastAsia" w:ascii="仿宋_GB2312" w:hAnsi="仿宋_GB2312" w:eastAsia="仿宋_GB2312" w:cs="仿宋_GB2312"/>
          <w:spacing w:val="0"/>
          <w:szCs w:val="32"/>
          <w:highlight w:val="none"/>
        </w:rPr>
        <w:t>重要指标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_Toc22228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7B730E2F">
      <w:pPr>
        <w:pStyle w:val="17"/>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_Toc30779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第三章、</w:t>
      </w:r>
      <w:r>
        <w:rPr>
          <w:rFonts w:hint="eastAsia" w:ascii="仿宋_GB2312" w:hAnsi="仿宋_GB2312" w:eastAsia="仿宋_GB2312" w:cs="仿宋_GB2312"/>
          <w:spacing w:val="0"/>
          <w:highlight w:val="none"/>
        </w:rPr>
        <w:t>夯实</w:t>
      </w:r>
      <w:r>
        <w:rPr>
          <w:rFonts w:hint="eastAsia" w:ascii="仿宋_GB2312" w:hAnsi="仿宋_GB2312" w:eastAsia="仿宋_GB2312" w:cs="仿宋_GB2312"/>
          <w:spacing w:val="0"/>
          <w:highlight w:val="none"/>
          <w:lang w:eastAsia="zh-CN"/>
        </w:rPr>
        <w:t>“</w:t>
      </w:r>
      <w:r>
        <w:rPr>
          <w:rFonts w:hint="eastAsia" w:ascii="仿宋_GB2312" w:hAnsi="仿宋_GB2312" w:eastAsia="仿宋_GB2312" w:cs="仿宋_GB2312"/>
          <w:spacing w:val="0"/>
          <w:highlight w:val="none"/>
        </w:rPr>
        <w:t>两大支撑</w:t>
      </w:r>
      <w:r>
        <w:rPr>
          <w:rFonts w:hint="eastAsia" w:ascii="仿宋_GB2312" w:hAnsi="仿宋_GB2312" w:eastAsia="仿宋_GB2312" w:cs="仿宋_GB2312"/>
          <w:spacing w:val="0"/>
          <w:highlight w:val="none"/>
          <w:lang w:eastAsia="zh-CN"/>
        </w:rPr>
        <w:t>”</w:t>
      </w:r>
      <w:r>
        <w:rPr>
          <w:rFonts w:hint="eastAsia" w:ascii="仿宋_GB2312" w:hAnsi="仿宋_GB2312" w:eastAsia="仿宋_GB2312" w:cs="仿宋_GB2312"/>
          <w:spacing w:val="0"/>
          <w:highlight w:val="none"/>
        </w:rPr>
        <w:t>，打造数字发展核心基石</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_Toc30779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28748478">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_Toc32181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一、</w:t>
      </w:r>
      <w:r>
        <w:rPr>
          <w:rFonts w:hint="eastAsia" w:ascii="仿宋_GB2312" w:hAnsi="仿宋_GB2312" w:eastAsia="仿宋_GB2312" w:cs="仿宋_GB2312"/>
          <w:spacing w:val="0"/>
          <w:szCs w:val="32"/>
          <w:highlight w:val="none"/>
        </w:rPr>
        <w:t>构建泛在智能的数字基础设施体系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_Toc32181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7CF2AC04">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_Toc9321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二、</w:t>
      </w:r>
      <w:r>
        <w:rPr>
          <w:rFonts w:hint="eastAsia" w:ascii="仿宋_GB2312" w:hAnsi="仿宋_GB2312" w:eastAsia="仿宋_GB2312" w:cs="仿宋_GB2312"/>
          <w:spacing w:val="0"/>
          <w:szCs w:val="32"/>
          <w:highlight w:val="none"/>
        </w:rPr>
        <w:t>打造数治融合的数据要素资源体系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_Toc9321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41C488CF">
      <w:pPr>
        <w:pStyle w:val="17"/>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_Toc28245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第四章、</w:t>
      </w:r>
      <w:r>
        <w:rPr>
          <w:rFonts w:hint="eastAsia" w:ascii="仿宋_GB2312" w:hAnsi="仿宋_GB2312" w:eastAsia="仿宋_GB2312" w:cs="仿宋_GB2312"/>
          <w:spacing w:val="0"/>
          <w:highlight w:val="none"/>
        </w:rPr>
        <w:t>推进</w:t>
      </w:r>
      <w:r>
        <w:rPr>
          <w:rFonts w:hint="eastAsia" w:ascii="仿宋_GB2312" w:hAnsi="仿宋_GB2312" w:eastAsia="仿宋_GB2312" w:cs="仿宋_GB2312"/>
          <w:spacing w:val="0"/>
          <w:highlight w:val="none"/>
          <w:lang w:eastAsia="zh-CN"/>
        </w:rPr>
        <w:t>“</w:t>
      </w:r>
      <w:r>
        <w:rPr>
          <w:rFonts w:hint="eastAsia" w:ascii="仿宋_GB2312" w:hAnsi="仿宋_GB2312" w:eastAsia="仿宋_GB2312" w:cs="仿宋_GB2312"/>
          <w:spacing w:val="0"/>
          <w:highlight w:val="none"/>
        </w:rPr>
        <w:t>三大融合</w:t>
      </w:r>
      <w:r>
        <w:rPr>
          <w:rFonts w:hint="eastAsia" w:ascii="仿宋_GB2312" w:hAnsi="仿宋_GB2312" w:eastAsia="仿宋_GB2312" w:cs="仿宋_GB2312"/>
          <w:spacing w:val="0"/>
          <w:highlight w:val="none"/>
          <w:lang w:eastAsia="zh-CN"/>
        </w:rPr>
        <w:t>”</w:t>
      </w:r>
      <w:r>
        <w:rPr>
          <w:rFonts w:hint="eastAsia" w:ascii="仿宋_GB2312" w:hAnsi="仿宋_GB2312" w:eastAsia="仿宋_GB2312" w:cs="仿宋_GB2312"/>
          <w:spacing w:val="0"/>
          <w:highlight w:val="none"/>
        </w:rPr>
        <w:t>，释放数字生态协同效能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_Toc28245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5728BCC3">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_Toc27686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一、</w:t>
      </w:r>
      <w:r>
        <w:rPr>
          <w:rFonts w:hint="eastAsia" w:ascii="仿宋_GB2312" w:hAnsi="仿宋_GB2312" w:eastAsia="仿宋_GB2312" w:cs="仿宋_GB2312"/>
          <w:spacing w:val="0"/>
          <w:szCs w:val="32"/>
          <w:highlight w:val="none"/>
        </w:rPr>
        <w:t>数字与生态融合，赋能生态保护与价值转化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35A3FF42">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_Toc24299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二、</w:t>
      </w:r>
      <w:r>
        <w:rPr>
          <w:rFonts w:hint="eastAsia" w:ascii="仿宋_GB2312" w:hAnsi="仿宋_GB2312" w:eastAsia="仿宋_GB2312" w:cs="仿宋_GB2312"/>
          <w:spacing w:val="0"/>
          <w:szCs w:val="32"/>
          <w:highlight w:val="none"/>
        </w:rPr>
        <w:t>数字与产业融合，驱动产业升级</w:t>
      </w:r>
      <w:r>
        <w:rPr>
          <w:rFonts w:hint="eastAsia" w:ascii="仿宋_GB2312" w:hAnsi="仿宋_GB2312" w:eastAsia="仿宋_GB2312" w:cs="仿宋_GB2312"/>
          <w:spacing w:val="0"/>
          <w:szCs w:val="32"/>
          <w:highlight w:val="none"/>
          <w:lang w:val="en-US" w:eastAsia="zh-CN"/>
        </w:rPr>
        <w:t>与</w:t>
      </w:r>
      <w:r>
        <w:rPr>
          <w:rFonts w:hint="eastAsia" w:ascii="仿宋_GB2312" w:hAnsi="仿宋_GB2312" w:eastAsia="仿宋_GB2312" w:cs="仿宋_GB2312"/>
          <w:spacing w:val="0"/>
          <w:szCs w:val="32"/>
          <w:highlight w:val="none"/>
        </w:rPr>
        <w:t>特色</w:t>
      </w:r>
      <w:r>
        <w:rPr>
          <w:rFonts w:hint="eastAsia" w:ascii="仿宋_GB2312" w:hAnsi="仿宋_GB2312" w:eastAsia="仿宋_GB2312" w:cs="仿宋_GB2312"/>
          <w:spacing w:val="0"/>
          <w:szCs w:val="32"/>
          <w:highlight w:val="none"/>
          <w:lang w:val="en-US" w:eastAsia="zh-CN"/>
        </w:rPr>
        <w:t>提质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_Toc24299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46348FBE">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_Toc1318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eastAsia="zh-CN"/>
        </w:rPr>
        <w:t>三、</w:t>
      </w:r>
      <w:r>
        <w:rPr>
          <w:rFonts w:hint="eastAsia" w:ascii="仿宋_GB2312" w:hAnsi="仿宋_GB2312" w:eastAsia="仿宋_GB2312" w:cs="仿宋_GB2312"/>
          <w:spacing w:val="0"/>
          <w:szCs w:val="32"/>
          <w:highlight w:val="none"/>
        </w:rPr>
        <w:t>数字与社会融合，提升民生服务与治理</w:t>
      </w:r>
      <w:r>
        <w:rPr>
          <w:rFonts w:hint="eastAsia" w:ascii="仿宋_GB2312" w:hAnsi="仿宋_GB2312" w:eastAsia="仿宋_GB2312" w:cs="仿宋_GB2312"/>
          <w:spacing w:val="0"/>
          <w:szCs w:val="32"/>
          <w:highlight w:val="none"/>
          <w:lang w:val="en-US" w:eastAsia="zh-CN"/>
        </w:rPr>
        <w:t>增效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1EA13426">
      <w:pPr>
        <w:pStyle w:val="17"/>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_Toc3395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第五章、</w:t>
      </w:r>
      <w:r>
        <w:rPr>
          <w:rFonts w:hint="eastAsia" w:ascii="仿宋_GB2312" w:hAnsi="仿宋_GB2312" w:eastAsia="仿宋_GB2312" w:cs="仿宋_GB2312"/>
          <w:spacing w:val="0"/>
          <w:highlight w:val="none"/>
        </w:rPr>
        <w:t>培育新兴产业，构建数字产业集群高地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_Toc3395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10257950">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_Toc24879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kern w:val="2"/>
          <w:szCs w:val="32"/>
          <w:highlight w:val="none"/>
          <w:lang w:val="en-US" w:eastAsia="zh-CN" w:bidi="ar-SA"/>
        </w:rPr>
        <w:t>一、</w:t>
      </w:r>
      <w:r>
        <w:rPr>
          <w:rFonts w:hint="eastAsia" w:ascii="仿宋_GB2312" w:hAnsi="仿宋_GB2312" w:eastAsia="仿宋_GB2312" w:cs="仿宋_GB2312"/>
          <w:spacing w:val="0"/>
          <w:szCs w:val="32"/>
          <w:highlight w:val="none"/>
        </w:rPr>
        <w:t>发挥数据要素</w:t>
      </w:r>
      <w:r>
        <w:rPr>
          <w:rFonts w:hint="eastAsia" w:ascii="仿宋_GB2312" w:hAnsi="仿宋_GB2312" w:eastAsia="仿宋_GB2312" w:cs="仿宋_GB2312"/>
          <w:spacing w:val="0"/>
          <w:szCs w:val="32"/>
          <w:highlight w:val="none"/>
          <w:lang w:val="en-US" w:eastAsia="zh-CN"/>
        </w:rPr>
        <w:t>核心</w:t>
      </w:r>
      <w:r>
        <w:rPr>
          <w:rFonts w:hint="eastAsia" w:ascii="仿宋_GB2312" w:hAnsi="仿宋_GB2312" w:eastAsia="仿宋_GB2312" w:cs="仿宋_GB2312"/>
          <w:spacing w:val="0"/>
          <w:szCs w:val="32"/>
          <w:highlight w:val="none"/>
        </w:rPr>
        <w:t>价值，推动数据要素市场</w:t>
      </w:r>
      <w:r>
        <w:rPr>
          <w:rFonts w:hint="eastAsia" w:ascii="仿宋_GB2312" w:hAnsi="仿宋_GB2312" w:eastAsia="仿宋_GB2312" w:cs="仿宋_GB2312"/>
          <w:spacing w:val="0"/>
          <w:szCs w:val="32"/>
          <w:highlight w:val="none"/>
          <w:lang w:val="en-US" w:eastAsia="zh-CN"/>
        </w:rPr>
        <w:t>流通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6C6C6B78">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_Toc19092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val="en-US" w:eastAsia="zh-CN"/>
        </w:rPr>
        <w:t>二、搭建多元协同赋能平台，推动人工智能产业发展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_Toc19092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0917C064">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_Toc8470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val="en-US" w:eastAsia="zh-CN"/>
        </w:rPr>
        <w:t>三、打造绿色算力产业枢纽，夯实数字经济发展根基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_Toc8470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5EF3B669">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_Toc24304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szCs w:val="32"/>
          <w:highlight w:val="none"/>
          <w:lang w:val="en-US" w:eastAsia="zh-CN"/>
        </w:rPr>
        <w:t>四、培育软件信息产业生态，赋能产业发展提质增效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_Toc24304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04E78EBE">
      <w:pPr>
        <w:pStyle w:val="17"/>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_Toc13553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第六章、</w:t>
      </w:r>
      <w:r>
        <w:rPr>
          <w:rFonts w:hint="eastAsia" w:ascii="仿宋_GB2312" w:hAnsi="仿宋_GB2312" w:eastAsia="仿宋_GB2312" w:cs="仿宋_GB2312"/>
          <w:spacing w:val="0"/>
          <w:highlight w:val="none"/>
        </w:rPr>
        <w:t>强化保障措施，护航数字崇明行稳致远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_Toc13553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215A48EB">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_Toc18744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一、</w:t>
      </w:r>
      <w:r>
        <w:rPr>
          <w:rFonts w:hint="eastAsia" w:ascii="仿宋_GB2312" w:hAnsi="仿宋_GB2312" w:eastAsia="仿宋_GB2312" w:cs="仿宋_GB2312"/>
          <w:spacing w:val="0"/>
          <w:highlight w:val="none"/>
        </w:rPr>
        <w:t>健全协同推进机制，凝聚数字发展合力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_Toc18744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052CCB0F">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_Toc15026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二、</w:t>
      </w:r>
      <w:r>
        <w:rPr>
          <w:rFonts w:hint="eastAsia" w:ascii="仿宋_GB2312" w:hAnsi="仿宋_GB2312" w:eastAsia="仿宋_GB2312" w:cs="仿宋_GB2312"/>
          <w:spacing w:val="0"/>
          <w:highlight w:val="none"/>
        </w:rPr>
        <w:t>优化政策支持体系，激活转型内生动力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_Toc15026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224F0874">
      <w:pPr>
        <w:pStyle w:val="19"/>
        <w:tabs>
          <w:tab w:val="right" w:leader="dot" w:pos="8820"/>
        </w:tabs>
        <w:rPr>
          <w:rFonts w:hint="eastAsia" w:ascii="仿宋_GB2312" w:hAnsi="仿宋_GB2312" w:eastAsia="仿宋_GB2312" w:cs="仿宋_GB2312"/>
        </w:rPr>
      </w:pPr>
      <w:r>
        <w:rPr>
          <w:rFonts w:hint="eastAsia" w:ascii="仿宋_GB2312" w:hAnsi="仿宋_GB2312" w:eastAsia="仿宋_GB2312" w:cs="仿宋_GB2312"/>
          <w:color w:val="auto"/>
          <w:spacing w:val="0"/>
          <w:highlight w:val="none"/>
          <w:lang w:val="en-US" w:eastAsia="zh-CN"/>
        </w:rPr>
        <w:fldChar w:fldCharType="begin"/>
      </w:r>
      <w:r>
        <w:rPr>
          <w:rFonts w:hint="eastAsia" w:ascii="仿宋_GB2312" w:hAnsi="仿宋_GB2312" w:eastAsia="仿宋_GB2312" w:cs="仿宋_GB2312"/>
          <w:spacing w:val="0"/>
          <w:highlight w:val="none"/>
          <w:lang w:val="en-US" w:eastAsia="zh-CN"/>
        </w:rPr>
        <w:instrText xml:space="preserve"> HYPERLINK \l _Toc18370 </w:instrText>
      </w:r>
      <w:r>
        <w:rPr>
          <w:rFonts w:hint="eastAsia" w:ascii="仿宋_GB2312" w:hAnsi="仿宋_GB2312" w:eastAsia="仿宋_GB2312" w:cs="仿宋_GB2312"/>
          <w:spacing w:val="0"/>
          <w:highlight w:val="none"/>
          <w:lang w:val="en-US" w:eastAsia="zh-CN"/>
        </w:rPr>
        <w:fldChar w:fldCharType="separate"/>
      </w:r>
      <w:r>
        <w:rPr>
          <w:rFonts w:hint="eastAsia" w:ascii="仿宋_GB2312" w:hAnsi="仿宋_GB2312" w:eastAsia="仿宋_GB2312" w:cs="仿宋_GB2312"/>
          <w:spacing w:val="0"/>
          <w:highlight w:val="none"/>
          <w:lang w:eastAsia="zh-CN"/>
        </w:rPr>
        <w:t>三、</w:t>
      </w:r>
      <w:r>
        <w:rPr>
          <w:rFonts w:hint="eastAsia" w:ascii="仿宋_GB2312" w:hAnsi="仿宋_GB2312" w:eastAsia="仿宋_GB2312" w:cs="仿宋_GB2312"/>
          <w:spacing w:val="0"/>
          <w:highlight w:val="none"/>
        </w:rPr>
        <w:t>筑牢</w:t>
      </w:r>
      <w:r>
        <w:rPr>
          <w:rFonts w:hint="eastAsia" w:ascii="仿宋_GB2312" w:hAnsi="仿宋_GB2312" w:eastAsia="仿宋_GB2312" w:cs="仿宋_GB2312"/>
          <w:spacing w:val="0"/>
          <w:highlight w:val="none"/>
          <w:lang w:val="en-US" w:eastAsia="zh-CN"/>
        </w:rPr>
        <w:t>数字安全</w:t>
      </w:r>
      <w:r>
        <w:rPr>
          <w:rFonts w:hint="eastAsia" w:ascii="仿宋_GB2312" w:hAnsi="仿宋_GB2312" w:eastAsia="仿宋_GB2312" w:cs="仿宋_GB2312"/>
          <w:spacing w:val="0"/>
          <w:highlight w:val="none"/>
        </w:rPr>
        <w:t>屏障，</w:t>
      </w:r>
      <w:r>
        <w:rPr>
          <w:rFonts w:hint="eastAsia" w:ascii="仿宋_GB2312" w:hAnsi="仿宋_GB2312" w:eastAsia="仿宋_GB2312" w:cs="仿宋_GB2312"/>
          <w:spacing w:val="0"/>
          <w:highlight w:val="none"/>
          <w:lang w:val="en-US" w:eastAsia="zh-CN"/>
        </w:rPr>
        <w:t>守护</w:t>
      </w:r>
      <w:r>
        <w:rPr>
          <w:rFonts w:hint="eastAsia" w:ascii="仿宋_GB2312" w:hAnsi="仿宋_GB2312" w:eastAsia="仿宋_GB2312" w:cs="仿宋_GB2312"/>
          <w:spacing w:val="0"/>
          <w:highlight w:val="none"/>
        </w:rPr>
        <w:t>数字发展底线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color w:val="auto"/>
          <w:spacing w:val="0"/>
          <w:highlight w:val="none"/>
          <w:lang w:val="en-US" w:eastAsia="zh-CN"/>
        </w:rPr>
        <w:fldChar w:fldCharType="end"/>
      </w:r>
    </w:p>
    <w:p w14:paraId="7E651C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pacing w:val="0"/>
          <w:highlight w:val="none"/>
          <w:lang w:val="en-US" w:eastAsia="zh-CN"/>
        </w:rPr>
        <w:sectPr>
          <w:footerReference r:id="rId11" w:type="default"/>
          <w:pgSz w:w="11906" w:h="16838"/>
          <w:pgMar w:top="1962" w:right="1499" w:bottom="1848" w:left="1587" w:header="851" w:footer="992" w:gutter="0"/>
          <w:pgBorders>
            <w:top w:val="none" w:sz="0" w:space="0"/>
            <w:left w:val="none" w:sz="0" w:space="0"/>
            <w:bottom w:val="none" w:sz="0" w:space="0"/>
            <w:right w:val="none" w:sz="0" w:space="0"/>
          </w:pgBorders>
          <w:pgNumType w:fmt="decimal" w:start="1"/>
          <w:cols w:space="720" w:num="1"/>
          <w:docGrid w:type="linesAndChars" w:linePitch="592" w:charSpace="-842"/>
        </w:sectPr>
      </w:pPr>
      <w:r>
        <w:rPr>
          <w:rFonts w:hint="eastAsia" w:ascii="仿宋_GB2312" w:hAnsi="仿宋_GB2312" w:eastAsia="仿宋_GB2312" w:cs="仿宋_GB2312"/>
          <w:color w:val="auto"/>
          <w:spacing w:val="0"/>
          <w:highlight w:val="none"/>
          <w:lang w:val="en-US" w:eastAsia="zh-CN"/>
        </w:rPr>
        <w:fldChar w:fldCharType="end"/>
      </w:r>
      <w:bookmarkStart w:id="15" w:name="_Toc21567"/>
      <w:bookmarkStart w:id="16" w:name="_Toc1969111229"/>
      <w:bookmarkStart w:id="17" w:name="_Toc12285"/>
      <w:bookmarkStart w:id="18" w:name="_Toc212830593"/>
      <w:bookmarkStart w:id="19" w:name="_Toc26301"/>
    </w:p>
    <w:p w14:paraId="75069E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
          <w:bCs/>
          <w:color w:val="auto"/>
          <w:spacing w:val="0"/>
          <w:kern w:val="44"/>
          <w:sz w:val="36"/>
          <w:szCs w:val="36"/>
          <w:highlight w:val="none"/>
          <w:lang w:val="en-US" w:eastAsia="zh-CN" w:bidi="ar-SA"/>
        </w:rPr>
      </w:pPr>
      <w:bookmarkStart w:id="20" w:name="_Toc11470"/>
      <w:r>
        <w:rPr>
          <w:rFonts w:hint="eastAsia" w:ascii="方正小标宋简体" w:hAnsi="方正小标宋简体" w:eastAsia="方正小标宋简体" w:cs="方正小标宋简体"/>
          <w:b/>
          <w:bCs/>
          <w:color w:val="auto"/>
          <w:spacing w:val="0"/>
          <w:kern w:val="44"/>
          <w:sz w:val="36"/>
          <w:szCs w:val="36"/>
          <w:highlight w:val="none"/>
          <w:lang w:val="en-US" w:eastAsia="zh-CN" w:bidi="ar-SA"/>
        </w:rPr>
        <w:t>第一章、把握新机遇，顺应数字化发展浪潮</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053DD4C">
      <w:pPr>
        <w:pStyle w:val="4"/>
        <w:pageBreakBefore w:val="0"/>
        <w:widowControl w:val="0"/>
        <w:kinsoku/>
        <w:wordWrap/>
        <w:overflowPunct/>
        <w:topLinePunct w:val="0"/>
        <w:autoSpaceDE/>
        <w:autoSpaceDN/>
        <w:bidi w:val="0"/>
        <w:adjustRightInd/>
        <w:spacing w:line="360" w:lineRule="auto"/>
        <w:ind w:left="0" w:leftChars="0" w:firstLine="632" w:firstLineChars="200"/>
        <w:textAlignment w:val="auto"/>
        <w:rPr>
          <w:rFonts w:hint="eastAsia"/>
          <w:color w:val="auto"/>
          <w:spacing w:val="0"/>
          <w:highlight w:val="none"/>
        </w:rPr>
      </w:pPr>
      <w:bookmarkStart w:id="21" w:name="_Toc1658399613"/>
      <w:bookmarkStart w:id="22" w:name="_Toc21289"/>
      <w:bookmarkStart w:id="23" w:name="_Toc2103055708"/>
      <w:bookmarkStart w:id="24" w:name="_Toc6336"/>
      <w:bookmarkStart w:id="25" w:name="_Toc11896"/>
      <w:bookmarkStart w:id="26" w:name="_Toc2492"/>
      <w:bookmarkStart w:id="27" w:name="_Toc31568"/>
      <w:bookmarkStart w:id="28" w:name="_Toc22485"/>
      <w:bookmarkStart w:id="29" w:name="_Toc205207070"/>
      <w:bookmarkStart w:id="30" w:name="_Toc7479"/>
      <w:bookmarkStart w:id="31" w:name="_Toc5836"/>
      <w:bookmarkStart w:id="32" w:name="_Toc9928"/>
      <w:bookmarkStart w:id="33" w:name="_Toc548440656"/>
      <w:bookmarkStart w:id="34" w:name="_Toc205363146"/>
      <w:r>
        <w:rPr>
          <w:rFonts w:hint="eastAsia"/>
          <w:color w:val="auto"/>
          <w:spacing w:val="0"/>
          <w:highlight w:val="none"/>
          <w:lang w:val="en-US" w:eastAsia="zh-CN"/>
        </w:rPr>
        <w:t>一、</w:t>
      </w:r>
      <w:r>
        <w:rPr>
          <w:rFonts w:hint="eastAsia"/>
          <w:color w:val="auto"/>
          <w:spacing w:val="0"/>
          <w:highlight w:val="none"/>
        </w:rPr>
        <w:t>“十四五”期间数字崇明发展回顾</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6A221E1">
      <w:pPr>
        <w:pStyle w:val="14"/>
        <w:pageBreakBefore w:val="0"/>
        <w:widowControl w:val="0"/>
        <w:kinsoku/>
        <w:wordWrap/>
        <w:overflowPunct/>
        <w:topLinePunct w:val="0"/>
        <w:autoSpaceDE/>
        <w:autoSpaceDN/>
        <w:bidi w:val="0"/>
        <w:adjustRightInd/>
        <w:snapToGrid/>
        <w:spacing w:line="560" w:lineRule="exact"/>
        <w:textAlignment w:val="auto"/>
        <w:rPr>
          <w:spacing w:val="0"/>
          <w:sz w:val="30"/>
          <w:szCs w:val="30"/>
          <w:highlight w:val="none"/>
        </w:rPr>
      </w:pPr>
      <w:r>
        <w:rPr>
          <w:spacing w:val="0"/>
          <w:sz w:val="30"/>
          <w:szCs w:val="30"/>
          <w:highlight w:val="none"/>
        </w:rPr>
        <w:t>“十四五”期间，崇明区紧紧围绕数字化转型赋能世界级生态岛建设总目标，以《世界级生态岛发展规划纲要（2021</w:t>
      </w:r>
      <w:r>
        <w:rPr>
          <w:rFonts w:hint="eastAsia"/>
          <w:spacing w:val="0"/>
          <w:sz w:val="30"/>
          <w:szCs w:val="30"/>
          <w:highlight w:val="none"/>
          <w:lang w:eastAsia="zh-CN"/>
        </w:rPr>
        <w:t>—</w:t>
      </w:r>
      <w:r>
        <w:rPr>
          <w:spacing w:val="0"/>
          <w:sz w:val="30"/>
          <w:szCs w:val="30"/>
          <w:highlight w:val="none"/>
        </w:rPr>
        <w:t>2035年）》为引领，以新型基础设施建设和数字场景创新为抓手，坚持筑基赋能与融合创新并重，全面激活数字经济发展新动能，在数字化转型道路上迈出坚实步伐。新型基础设施建设持续提速，5G网络、千兆光网等新型基础设施不断完善，实现重点区域全覆盖；数字技术重点场景深度落地，从智慧平台助力花博会高效运营，到数字农场、数字湿地创新实践，逐步探索出一条具有自身特色的数字化发展路径，数字技术在经济、生活、治理等领域加速渗透，取得令人瞩目的成绩。</w:t>
      </w:r>
    </w:p>
    <w:p w14:paraId="76B40119">
      <w:pPr>
        <w:pStyle w:val="14"/>
        <w:pageBreakBefore w:val="0"/>
        <w:widowControl w:val="0"/>
        <w:kinsoku/>
        <w:wordWrap/>
        <w:overflowPunct/>
        <w:topLinePunct w:val="0"/>
        <w:autoSpaceDE/>
        <w:autoSpaceDN/>
        <w:bidi w:val="0"/>
        <w:adjustRightInd/>
        <w:spacing w:line="560" w:lineRule="exact"/>
        <w:textAlignment w:val="auto"/>
        <w:rPr>
          <w:spacing w:val="0"/>
          <w:highlight w:val="none"/>
        </w:rPr>
      </w:pPr>
      <w:bookmarkStart w:id="35" w:name="_Toc642"/>
      <w:bookmarkStart w:id="36" w:name="_Toc3696"/>
      <w:bookmarkStart w:id="37" w:name="_Toc205363151"/>
      <w:bookmarkStart w:id="38" w:name="_Toc21581"/>
      <w:bookmarkStart w:id="39" w:name="_Toc205207075"/>
      <w:bookmarkStart w:id="40" w:name="_Toc17891"/>
      <w:bookmarkStart w:id="41" w:name="_Toc24300"/>
      <w:r>
        <w:rPr>
          <w:rFonts w:hint="eastAsia" w:ascii="楷体_GB2312" w:hAnsi="楷体_GB2312" w:eastAsia="楷体_GB2312" w:cs="楷体_GB2312"/>
          <w:b/>
          <w:bCs/>
          <w:spacing w:val="0"/>
          <w:highlight w:val="none"/>
        </w:rPr>
        <w:t>提升基建能级，数字底座</w:t>
      </w:r>
      <w:r>
        <w:rPr>
          <w:rFonts w:hint="eastAsia" w:ascii="楷体_GB2312" w:hAnsi="楷体_GB2312" w:eastAsia="楷体_GB2312" w:cs="楷体_GB2312"/>
          <w:b/>
          <w:bCs/>
          <w:spacing w:val="0"/>
          <w:highlight w:val="none"/>
          <w:lang w:val="en-US" w:eastAsia="zh-CN"/>
        </w:rPr>
        <w:t>持续</w:t>
      </w:r>
      <w:r>
        <w:rPr>
          <w:rFonts w:hint="eastAsia" w:ascii="楷体_GB2312" w:hAnsi="楷体_GB2312" w:eastAsia="楷体_GB2312" w:cs="楷体_GB2312"/>
          <w:b/>
          <w:bCs/>
          <w:spacing w:val="0"/>
          <w:highlight w:val="none"/>
        </w:rPr>
        <w:t>筑牢</w:t>
      </w:r>
      <w:bookmarkEnd w:id="35"/>
      <w:bookmarkEnd w:id="36"/>
      <w:bookmarkEnd w:id="37"/>
      <w:bookmarkEnd w:id="38"/>
      <w:bookmarkEnd w:id="39"/>
      <w:bookmarkEnd w:id="40"/>
      <w:bookmarkEnd w:id="41"/>
      <w:r>
        <w:rPr>
          <w:rFonts w:hint="eastAsia" w:ascii="楷体_GB2312" w:hAnsi="楷体_GB2312" w:eastAsia="楷体_GB2312" w:cs="楷体_GB2312"/>
          <w:b/>
          <w:bCs/>
          <w:spacing w:val="0"/>
          <w:highlight w:val="none"/>
          <w:lang w:eastAsia="zh-CN"/>
        </w:rPr>
        <w:t>。</w:t>
      </w:r>
      <w:r>
        <w:rPr>
          <w:rFonts w:hint="eastAsia"/>
          <w:spacing w:val="0"/>
          <w:highlight w:val="none"/>
          <w:lang w:val="en-US" w:eastAsia="zh-CN"/>
        </w:rPr>
        <w:t>5</w:t>
      </w:r>
      <w:r>
        <w:rPr>
          <w:spacing w:val="0"/>
          <w:highlight w:val="none"/>
        </w:rPr>
        <w:t>G、千兆光网建设方面，重点覆盖城桥</w:t>
      </w:r>
      <w:r>
        <w:rPr>
          <w:rFonts w:hint="eastAsia"/>
          <w:spacing w:val="0"/>
          <w:highlight w:val="none"/>
          <w:lang w:val="en-US" w:eastAsia="zh-CN"/>
        </w:rPr>
        <w:t>镇</w:t>
      </w:r>
      <w:r>
        <w:rPr>
          <w:spacing w:val="0"/>
          <w:highlight w:val="none"/>
        </w:rPr>
        <w:t>、陈家镇、长兴</w:t>
      </w:r>
      <w:r>
        <w:rPr>
          <w:rFonts w:hint="eastAsia"/>
          <w:spacing w:val="0"/>
          <w:highlight w:val="none"/>
          <w:lang w:val="en-US" w:eastAsia="zh-CN"/>
        </w:rPr>
        <w:t>镇</w:t>
      </w:r>
      <w:r>
        <w:rPr>
          <w:spacing w:val="0"/>
          <w:highlight w:val="none"/>
        </w:rPr>
        <w:t>等区域，推动5G在生产、生活、生态领域应用，建成427</w:t>
      </w:r>
      <w:r>
        <w:rPr>
          <w:rFonts w:hint="eastAsia"/>
          <w:spacing w:val="0"/>
          <w:highlight w:val="none"/>
          <w:lang w:val="en-US" w:eastAsia="zh-CN"/>
        </w:rPr>
        <w:t>5</w:t>
      </w:r>
      <w:r>
        <w:rPr>
          <w:spacing w:val="0"/>
          <w:highlight w:val="none"/>
        </w:rPr>
        <w:t>个5G基站，万人基站数全市领先</w:t>
      </w:r>
      <w:r>
        <w:rPr>
          <w:rFonts w:hint="eastAsia"/>
          <w:spacing w:val="0"/>
          <w:highlight w:val="none"/>
          <w:lang w:eastAsia="zh-CN"/>
        </w:rPr>
        <w:t>。</w:t>
      </w:r>
      <w:r>
        <w:rPr>
          <w:spacing w:val="0"/>
          <w:highlight w:val="none"/>
        </w:rPr>
        <w:t>千兆</w:t>
      </w:r>
      <w:r>
        <w:rPr>
          <w:rFonts w:hint="eastAsia"/>
          <w:spacing w:val="0"/>
          <w:highlight w:val="none"/>
          <w:lang w:val="en-US" w:eastAsia="zh-CN"/>
        </w:rPr>
        <w:t>光</w:t>
      </w:r>
      <w:r>
        <w:rPr>
          <w:spacing w:val="0"/>
          <w:highlight w:val="none"/>
        </w:rPr>
        <w:t>网覆盖</w:t>
      </w:r>
      <w:r>
        <w:rPr>
          <w:rFonts w:hint="eastAsia"/>
          <w:spacing w:val="0"/>
          <w:highlight w:val="none"/>
          <w:lang w:val="en-US" w:eastAsia="zh-CN"/>
        </w:rPr>
        <w:t>能力达32万户</w:t>
      </w:r>
      <w:r>
        <w:rPr>
          <w:spacing w:val="0"/>
          <w:highlight w:val="none"/>
        </w:rPr>
        <w:t>，</w:t>
      </w:r>
      <w:r>
        <w:rPr>
          <w:rFonts w:hint="eastAsia"/>
          <w:spacing w:val="0"/>
          <w:highlight w:val="none"/>
          <w:lang w:val="en-US" w:eastAsia="zh-CN"/>
        </w:rPr>
        <w:t>其中家庭用户28.4万户、政企用户3.6万户，家庭宽带500M以上用户占比提升至30%，平均接入带宽达210Mbps，平均可用下载速率50.4Mbps，实现农村地区千兆光纤全覆盖，金鳌山社区成为崇明首个“万兆小区”。</w:t>
      </w:r>
      <w:r>
        <w:rPr>
          <w:spacing w:val="0"/>
          <w:highlight w:val="none"/>
        </w:rPr>
        <w:t>网络智能化升级改造方面，部署“IPv6+”技术，加速IPv6应用，支持产业数字化。</w:t>
      </w:r>
      <w:r>
        <w:rPr>
          <w:rFonts w:hint="eastAsia"/>
          <w:spacing w:val="0"/>
          <w:highlight w:val="none"/>
          <w:lang w:val="en-US" w:eastAsia="zh-CN"/>
        </w:rPr>
        <w:t>通过</w:t>
      </w:r>
      <w:r>
        <w:rPr>
          <w:spacing w:val="0"/>
          <w:highlight w:val="none"/>
        </w:rPr>
        <w:t>OTN、SDN等智能技术实现政务领域信息按需供给</w:t>
      </w:r>
      <w:r>
        <w:rPr>
          <w:rFonts w:hint="eastAsia"/>
          <w:spacing w:val="0"/>
          <w:highlight w:val="none"/>
          <w:lang w:eastAsia="zh-CN"/>
        </w:rPr>
        <w:t>，</w:t>
      </w:r>
      <w:r>
        <w:rPr>
          <w:rFonts w:hint="eastAsia"/>
          <w:spacing w:val="0"/>
          <w:highlight w:val="none"/>
          <w:lang w:val="en-US" w:eastAsia="zh-CN"/>
        </w:rPr>
        <w:t>政府云平台承载能力达6854核vCPU、18446G内存，支撑全区政务系统信息上云纳管</w:t>
      </w:r>
      <w:r>
        <w:rPr>
          <w:spacing w:val="0"/>
          <w:highlight w:val="none"/>
        </w:rPr>
        <w:t>。公共设施数字化转型方面，聚焦自然资源CIM应用，</w:t>
      </w:r>
      <w:r>
        <w:rPr>
          <w:rFonts w:hint="eastAsia"/>
          <w:spacing w:val="0"/>
          <w:highlight w:val="none"/>
          <w:lang w:val="en-US" w:eastAsia="zh-CN"/>
        </w:rPr>
        <w:t>整合农房调查数据超10万条，地图数据共享图层达200余项，支撑生态监测与城市规划。</w:t>
      </w:r>
      <w:r>
        <w:rPr>
          <w:spacing w:val="0"/>
          <w:highlight w:val="none"/>
        </w:rPr>
        <w:t>构建物联传感系统方面，建设NBIoT、eMTC网络，</w:t>
      </w:r>
      <w:r>
        <w:rPr>
          <w:rFonts w:hint="eastAsia"/>
          <w:spacing w:val="0"/>
          <w:highlight w:val="none"/>
          <w:lang w:val="en-US" w:eastAsia="zh-CN"/>
        </w:rPr>
        <w:t>建成物联网基站356个，网络覆盖率99.2%，接入40000余个泛感知设备数据，全区物联网终端用户超1.7万户，</w:t>
      </w:r>
      <w:r>
        <w:rPr>
          <w:spacing w:val="0"/>
          <w:highlight w:val="none"/>
        </w:rPr>
        <w:t>开展物联网技术试验</w:t>
      </w:r>
      <w:r>
        <w:rPr>
          <w:rFonts w:hint="eastAsia"/>
          <w:spacing w:val="0"/>
          <w:highlight w:val="none"/>
          <w:lang w:eastAsia="zh-CN"/>
        </w:rPr>
        <w:t>，</w:t>
      </w:r>
      <w:r>
        <w:rPr>
          <w:spacing w:val="0"/>
          <w:highlight w:val="none"/>
        </w:rPr>
        <w:t>实现重点区域感知端覆盖，接入公共安全视频资源。优化“存算”设施布局</w:t>
      </w:r>
      <w:r>
        <w:rPr>
          <w:rFonts w:hint="eastAsia"/>
          <w:spacing w:val="0"/>
          <w:highlight w:val="none"/>
          <w:lang w:eastAsia="zh-CN"/>
        </w:rPr>
        <w:t>，</w:t>
      </w:r>
      <w:r>
        <w:rPr>
          <w:rFonts w:hint="default"/>
          <w:spacing w:val="0"/>
          <w:highlight w:val="none"/>
          <w:lang w:val="en-US"/>
        </w:rPr>
        <w:t>数据中心机架规模（等效6</w:t>
      </w:r>
      <w:r>
        <w:rPr>
          <w:rFonts w:hint="eastAsia"/>
          <w:spacing w:val="0"/>
          <w:highlight w:val="none"/>
          <w:lang w:val="en-US" w:eastAsia="zh-CN"/>
        </w:rPr>
        <w:t>kW</w:t>
      </w:r>
      <w:r>
        <w:rPr>
          <w:rFonts w:hint="default"/>
          <w:spacing w:val="0"/>
          <w:highlight w:val="none"/>
          <w:lang w:val="en-US"/>
        </w:rPr>
        <w:t>）</w:t>
      </w:r>
      <w:r>
        <w:rPr>
          <w:rFonts w:hint="eastAsia"/>
          <w:spacing w:val="0"/>
          <w:highlight w:val="none"/>
          <w:lang w:val="en-US" w:eastAsia="zh-CN"/>
        </w:rPr>
        <w:t>达</w:t>
      </w:r>
      <w:r>
        <w:rPr>
          <w:rFonts w:hint="default"/>
          <w:spacing w:val="0"/>
          <w:highlight w:val="none"/>
          <w:lang w:val="en-US"/>
        </w:rPr>
        <w:t>6347</w:t>
      </w:r>
      <w:r>
        <w:rPr>
          <w:rFonts w:hint="eastAsia"/>
          <w:spacing w:val="0"/>
          <w:highlight w:val="none"/>
          <w:lang w:val="en-US" w:eastAsia="zh-CN"/>
        </w:rPr>
        <w:t>架</w:t>
      </w:r>
      <w:r>
        <w:rPr>
          <w:rFonts w:hint="eastAsia"/>
          <w:spacing w:val="0"/>
          <w:highlight w:val="none"/>
        </w:rPr>
        <w:t>，</w:t>
      </w:r>
      <w:r>
        <w:rPr>
          <w:color w:val="auto"/>
          <w:spacing w:val="0"/>
          <w:highlight w:val="none"/>
        </w:rPr>
        <w:t>绿色化改造初见成效。</w:t>
      </w:r>
    </w:p>
    <w:p w14:paraId="5560F5A3">
      <w:pPr>
        <w:pStyle w:val="14"/>
        <w:pageBreakBefore w:val="0"/>
        <w:widowControl w:val="0"/>
        <w:kinsoku/>
        <w:wordWrap/>
        <w:overflowPunct/>
        <w:topLinePunct w:val="0"/>
        <w:autoSpaceDE/>
        <w:autoSpaceDN/>
        <w:bidi w:val="0"/>
        <w:adjustRightInd/>
        <w:spacing w:line="560" w:lineRule="exact"/>
        <w:textAlignment w:val="auto"/>
        <w:rPr>
          <w:rFonts w:hint="eastAsia"/>
          <w:spacing w:val="0"/>
          <w:highlight w:val="none"/>
          <w:lang w:eastAsia="zh-CN"/>
        </w:rPr>
      </w:pPr>
      <w:bookmarkStart w:id="42" w:name="_Toc15141"/>
      <w:bookmarkStart w:id="43" w:name="_Toc205363150"/>
      <w:bookmarkStart w:id="44" w:name="_Toc4752"/>
      <w:bookmarkStart w:id="45" w:name="_Toc30104"/>
      <w:bookmarkStart w:id="46" w:name="_Toc205207074"/>
      <w:bookmarkStart w:id="47" w:name="_Toc25701"/>
      <w:bookmarkStart w:id="48" w:name="_Toc4924"/>
      <w:r>
        <w:rPr>
          <w:rFonts w:hint="eastAsia" w:ascii="楷体_GB2312" w:hAnsi="楷体_GB2312" w:eastAsia="楷体_GB2312" w:cs="楷体_GB2312"/>
          <w:b/>
          <w:bCs/>
          <w:spacing w:val="0"/>
          <w:highlight w:val="none"/>
        </w:rPr>
        <w:t>聚合数据要素，数字价值逐步释放</w:t>
      </w:r>
      <w:bookmarkEnd w:id="42"/>
      <w:bookmarkEnd w:id="43"/>
      <w:bookmarkEnd w:id="44"/>
      <w:bookmarkEnd w:id="45"/>
      <w:bookmarkEnd w:id="46"/>
      <w:bookmarkEnd w:id="47"/>
      <w:bookmarkEnd w:id="48"/>
      <w:r>
        <w:rPr>
          <w:rFonts w:hint="eastAsia" w:ascii="楷体_GB2312" w:hAnsi="楷体_GB2312" w:eastAsia="楷体_GB2312" w:cs="楷体_GB2312"/>
          <w:b/>
          <w:bCs/>
          <w:spacing w:val="0"/>
          <w:highlight w:val="none"/>
          <w:lang w:eastAsia="zh-CN"/>
        </w:rPr>
        <w:t>。</w:t>
      </w:r>
      <w:r>
        <w:rPr>
          <w:rFonts w:hint="eastAsia"/>
          <w:spacing w:val="0"/>
          <w:highlight w:val="none"/>
        </w:rPr>
        <w:t>公共数据整合治理方面，区大数据平台汇聚全区99个单位、113个信息系统17.42亿条数据，实现数据资源集中统一；政务云平台完成国家首批公共数据资源登记，13.14亿条数据接入国家平台，数据共享交换量超10亿次；建设数据运营平台，</w:t>
      </w:r>
      <w:r>
        <w:rPr>
          <w:rFonts w:hint="eastAsia"/>
          <w:spacing w:val="0"/>
          <w:highlight w:val="none"/>
          <w:lang w:eastAsia="zh-CN"/>
        </w:rPr>
        <w:t>已建成</w:t>
      </w:r>
      <w:r>
        <w:rPr>
          <w:rFonts w:hint="eastAsia"/>
          <w:spacing w:val="0"/>
          <w:highlight w:val="none"/>
        </w:rPr>
        <w:t>AI算法模型库</w:t>
      </w:r>
      <w:r>
        <w:rPr>
          <w:rFonts w:hint="eastAsia"/>
          <w:spacing w:val="0"/>
          <w:highlight w:val="none"/>
          <w:lang w:val="en-US" w:eastAsia="zh-CN"/>
        </w:rPr>
        <w:t>，推动</w:t>
      </w:r>
      <w:r>
        <w:rPr>
          <w:rFonts w:hint="eastAsia"/>
          <w:spacing w:val="0"/>
          <w:highlight w:val="none"/>
        </w:rPr>
        <w:t>治理引擎升级。公共数据共享开放方面，扩大数据共享范围，支撑“一网通办”和“一网统管”建设，累计交换数据6700万条，开放数据集200余个，</w:t>
      </w:r>
      <w:r>
        <w:rPr>
          <w:spacing w:val="0"/>
          <w:highlight w:val="none"/>
        </w:rPr>
        <w:t>提升数据准确度和鲜活度；加强崇明特色领域数据支撑，赋能智慧交通、文旅、生态等</w:t>
      </w:r>
      <w:r>
        <w:rPr>
          <w:rFonts w:hint="eastAsia"/>
          <w:spacing w:val="0"/>
          <w:highlight w:val="none"/>
          <w:lang w:val="en-US" w:eastAsia="zh-CN"/>
        </w:rPr>
        <w:t>行业</w:t>
      </w:r>
      <w:r>
        <w:rPr>
          <w:spacing w:val="0"/>
          <w:highlight w:val="none"/>
        </w:rPr>
        <w:t>发展；支撑社区治理，赋能数字孪生、民生保障等。建成全区公共数据共享交换平台，支撑“两张网”建设，做好数据开放申请支撑</w:t>
      </w:r>
      <w:r>
        <w:rPr>
          <w:rFonts w:hint="eastAsia"/>
          <w:spacing w:val="0"/>
          <w:highlight w:val="none"/>
          <w:lang w:eastAsia="zh-CN"/>
        </w:rPr>
        <w:t>，</w:t>
      </w:r>
      <w:r>
        <w:rPr>
          <w:rFonts w:hint="eastAsia"/>
          <w:spacing w:val="0"/>
          <w:highlight w:val="none"/>
          <w:lang w:val="en-US" w:eastAsia="zh-CN"/>
        </w:rPr>
        <w:t>年均处理跨部门数据需求3000余项</w:t>
      </w:r>
      <w:r>
        <w:rPr>
          <w:spacing w:val="0"/>
          <w:highlight w:val="none"/>
        </w:rPr>
        <w:t>。公共技术赋能体系构建方面，引入AI计算模型，推进业务再生；开发地图数据管理功能，建设共享地图基座，赋能社会治理场景应用。形成共享交换机制，规范流程，推进数据共享开发利用。</w:t>
      </w:r>
      <w:r>
        <w:rPr>
          <w:rFonts w:hint="eastAsia"/>
          <w:spacing w:val="0"/>
          <w:highlight w:val="none"/>
        </w:rPr>
        <w:t>推进数字技术创新应用，依托区块链技术实现特色农业上链溯源，推动提升农产品社会公信力和产业附加值</w:t>
      </w:r>
      <w:r>
        <w:rPr>
          <w:rFonts w:hint="eastAsia"/>
          <w:spacing w:val="0"/>
          <w:highlight w:val="none"/>
          <w:lang w:eastAsia="zh-CN"/>
        </w:rPr>
        <w:t>。</w:t>
      </w:r>
    </w:p>
    <w:p w14:paraId="15174C34">
      <w:pPr>
        <w:pStyle w:val="14"/>
        <w:pageBreakBefore w:val="0"/>
        <w:widowControl w:val="0"/>
        <w:kinsoku/>
        <w:wordWrap/>
        <w:overflowPunct/>
        <w:topLinePunct w:val="0"/>
        <w:autoSpaceDE/>
        <w:autoSpaceDN/>
        <w:bidi w:val="0"/>
        <w:adjustRightInd/>
        <w:spacing w:line="560" w:lineRule="exact"/>
        <w:textAlignment w:val="auto"/>
        <w:rPr>
          <w:spacing w:val="0"/>
          <w:highlight w:val="none"/>
        </w:rPr>
      </w:pPr>
      <w:bookmarkStart w:id="49" w:name="_Toc6258"/>
      <w:bookmarkStart w:id="50" w:name="_Toc28196"/>
      <w:bookmarkStart w:id="51" w:name="_Toc18638"/>
      <w:bookmarkStart w:id="52" w:name="_Toc205207073"/>
      <w:bookmarkStart w:id="53" w:name="_Toc205363149"/>
      <w:bookmarkStart w:id="54" w:name="_Toc13490"/>
      <w:bookmarkStart w:id="55" w:name="_Toc1865"/>
      <w:r>
        <w:rPr>
          <w:rFonts w:hint="eastAsia" w:ascii="楷体_GB2312" w:hAnsi="楷体_GB2312" w:eastAsia="楷体_GB2312" w:cs="楷体_GB2312"/>
          <w:b/>
          <w:bCs/>
          <w:spacing w:val="0"/>
          <w:highlight w:val="none"/>
        </w:rPr>
        <w:t>创新治理范式，数智效能</w:t>
      </w:r>
      <w:r>
        <w:rPr>
          <w:rFonts w:hint="eastAsia" w:ascii="楷体_GB2312" w:hAnsi="楷体_GB2312" w:eastAsia="楷体_GB2312" w:cs="楷体_GB2312"/>
          <w:b/>
          <w:bCs/>
          <w:spacing w:val="0"/>
          <w:highlight w:val="none"/>
          <w:lang w:val="en-US" w:eastAsia="zh-CN"/>
        </w:rPr>
        <w:t>日益</w:t>
      </w:r>
      <w:r>
        <w:rPr>
          <w:rFonts w:hint="eastAsia" w:ascii="楷体_GB2312" w:hAnsi="楷体_GB2312" w:eastAsia="楷体_GB2312" w:cs="楷体_GB2312"/>
          <w:b/>
          <w:bCs/>
          <w:spacing w:val="0"/>
          <w:highlight w:val="none"/>
        </w:rPr>
        <w:t>彰显</w:t>
      </w:r>
      <w:bookmarkEnd w:id="49"/>
      <w:bookmarkEnd w:id="50"/>
      <w:bookmarkEnd w:id="51"/>
      <w:bookmarkEnd w:id="52"/>
      <w:bookmarkEnd w:id="53"/>
      <w:bookmarkEnd w:id="54"/>
      <w:bookmarkEnd w:id="55"/>
      <w:r>
        <w:rPr>
          <w:rFonts w:hint="eastAsia" w:ascii="楷体_GB2312" w:hAnsi="楷体_GB2312" w:eastAsia="楷体_GB2312" w:cs="楷体_GB2312"/>
          <w:b/>
          <w:bCs/>
          <w:spacing w:val="0"/>
          <w:highlight w:val="none"/>
          <w:lang w:eastAsia="zh-CN"/>
        </w:rPr>
        <w:t>。</w:t>
      </w:r>
      <w:r>
        <w:rPr>
          <w:rFonts w:hint="eastAsia" w:ascii="楷体_GB2312" w:hAnsi="楷体_GB2312" w:eastAsia="楷体_GB2312" w:cs="楷体_GB2312"/>
          <w:b w:val="0"/>
          <w:bCs w:val="0"/>
          <w:spacing w:val="0"/>
          <w:highlight w:val="none"/>
          <w:lang w:eastAsia="zh-CN"/>
        </w:rPr>
        <w:t>在</w:t>
      </w:r>
      <w:r>
        <w:rPr>
          <w:spacing w:val="0"/>
          <w:highlight w:val="none"/>
        </w:rPr>
        <w:t>促进城市治理智慧高效方面，完成城市运行“一网统管”平台搭建，向上可承接市级统一平台数据，向下</w:t>
      </w:r>
      <w:r>
        <w:rPr>
          <w:rFonts w:hint="eastAsia"/>
          <w:spacing w:val="0"/>
          <w:highlight w:val="none"/>
          <w:lang w:val="en-US" w:eastAsia="zh-CN"/>
        </w:rPr>
        <w:t>可</w:t>
      </w:r>
      <w:r>
        <w:rPr>
          <w:spacing w:val="0"/>
          <w:highlight w:val="none"/>
        </w:rPr>
        <w:t>联通18个乡镇城运中心统一平台底座，横向可接入本区各业务系统。梳理形成106项城市运行体征数据，接入各类视频监控近2万路、泛感知设备4000余个</w:t>
      </w:r>
      <w:r>
        <w:rPr>
          <w:rFonts w:hint="eastAsia"/>
          <w:spacing w:val="0"/>
          <w:highlight w:val="none"/>
        </w:rPr>
        <w:t>，实现生态环境、长江禁渔等30余个场景实时监测</w:t>
      </w:r>
      <w:r>
        <w:rPr>
          <w:spacing w:val="0"/>
          <w:highlight w:val="none"/>
        </w:rPr>
        <w:t>。</w:t>
      </w:r>
      <w:r>
        <w:rPr>
          <w:rFonts w:hint="eastAsia"/>
          <w:spacing w:val="0"/>
          <w:highlight w:val="none"/>
          <w:lang w:val="en-US" w:eastAsia="zh-CN"/>
        </w:rPr>
        <w:t>区公安分局将10717路公安视频接入雪亮平台，其中6611路视频接入城运中心，支撑全区各项政务管理应用场景。</w:t>
      </w:r>
      <w:r>
        <w:rPr>
          <w:spacing w:val="0"/>
          <w:highlight w:val="none"/>
        </w:rPr>
        <w:t>不断完善“一网通办”全方位服务体系，持续推进各类依申请行政权力事项和公共服务事项进驻政务服务中心，实现“一门”办理进驻率96.28%。</w:t>
      </w:r>
      <w:r>
        <w:rPr>
          <w:rFonts w:hint="eastAsia"/>
          <w:spacing w:val="0"/>
          <w:highlight w:val="none"/>
        </w:rPr>
        <w:t>“一网通办”公开发布区级政务服务事项4778项、涵盖情形9625项，全区累计办件1152万余件；涉企申请类政务服务事项情形1916项，其中1881项已进驻区政务服务中心；申请类事项全程网办能力比率、减时间比例、实际办件网办比率、全程网办件比率、当场办结率均达到并保持在90%以上</w:t>
      </w:r>
      <w:r>
        <w:rPr>
          <w:rFonts w:hint="eastAsia"/>
          <w:spacing w:val="0"/>
          <w:highlight w:val="none"/>
          <w:lang w:eastAsia="zh-CN"/>
        </w:rPr>
        <w:t>。</w:t>
      </w:r>
      <w:r>
        <w:rPr>
          <w:rFonts w:hint="eastAsia"/>
          <w:spacing w:val="0"/>
          <w:highlight w:val="none"/>
        </w:rPr>
        <w:t>“随申办”崇明旗舰店上线“瀛洲人才云服务”“课后服务”“离岛核验”“崇明好物”等20余项特色服务，访问量突破9300万次，荣获上海市“明星旗舰店”称号。加快推动“随申办”企业云崇明旗舰店建设，已上线“企业诉求”“生态餐饮提前帮”等区级特色惠企服务。</w:t>
      </w:r>
      <w:r>
        <w:rPr>
          <w:spacing w:val="0"/>
          <w:highlight w:val="none"/>
        </w:rPr>
        <w:t>加强政务服务“好差评”管理，建立“好差评”评价、反馈、整改、监督全流程闭环工作机制，每年好评率保持在99.99%。</w:t>
      </w:r>
      <w:bookmarkStart w:id="56" w:name="_Toc14841"/>
      <w:bookmarkStart w:id="57" w:name="_Toc20764"/>
      <w:bookmarkStart w:id="58" w:name="_Toc12499"/>
      <w:bookmarkStart w:id="59" w:name="_Toc205363148"/>
      <w:bookmarkStart w:id="60" w:name="_Toc205207072"/>
      <w:bookmarkStart w:id="61" w:name="_Toc17352"/>
      <w:bookmarkStart w:id="62" w:name="_Toc21276"/>
    </w:p>
    <w:p w14:paraId="26F0CBA7">
      <w:pPr>
        <w:pStyle w:val="14"/>
        <w:pageBreakBefore w:val="0"/>
        <w:widowControl w:val="0"/>
        <w:kinsoku/>
        <w:wordWrap/>
        <w:overflowPunct/>
        <w:topLinePunct w:val="0"/>
        <w:autoSpaceDE/>
        <w:autoSpaceDN/>
        <w:bidi w:val="0"/>
        <w:adjustRightInd/>
        <w:spacing w:line="560" w:lineRule="exact"/>
        <w:textAlignment w:val="auto"/>
        <w:rPr>
          <w:spacing w:val="0"/>
          <w:highlight w:val="none"/>
        </w:rPr>
      </w:pPr>
      <w:r>
        <w:rPr>
          <w:rFonts w:hint="eastAsia" w:ascii="楷体_GB2312" w:hAnsi="楷体_GB2312" w:eastAsia="楷体_GB2312" w:cs="楷体_GB2312"/>
          <w:b/>
          <w:bCs/>
          <w:spacing w:val="0"/>
          <w:highlight w:val="none"/>
        </w:rPr>
        <w:t>升级惠民服务，数字</w:t>
      </w:r>
      <w:r>
        <w:rPr>
          <w:rFonts w:hint="eastAsia" w:ascii="楷体_GB2312" w:hAnsi="楷体_GB2312" w:eastAsia="楷体_GB2312" w:cs="楷体_GB2312"/>
          <w:b/>
          <w:bCs/>
          <w:spacing w:val="0"/>
          <w:highlight w:val="none"/>
          <w:lang w:val="en-US" w:eastAsia="zh-CN"/>
        </w:rPr>
        <w:t>便民</w:t>
      </w:r>
      <w:r>
        <w:rPr>
          <w:rFonts w:hint="eastAsia" w:ascii="楷体_GB2312" w:hAnsi="楷体_GB2312" w:eastAsia="楷体_GB2312" w:cs="楷体_GB2312"/>
          <w:b/>
          <w:bCs/>
          <w:color w:val="auto"/>
          <w:spacing w:val="0"/>
          <w:highlight w:val="none"/>
          <w:lang w:val="en-US" w:eastAsia="zh-CN"/>
        </w:rPr>
        <w:t>改善</w:t>
      </w:r>
      <w:r>
        <w:rPr>
          <w:rFonts w:hint="eastAsia" w:ascii="楷体_GB2312" w:hAnsi="楷体_GB2312" w:eastAsia="楷体_GB2312" w:cs="楷体_GB2312"/>
          <w:b/>
          <w:bCs/>
          <w:spacing w:val="0"/>
          <w:highlight w:val="none"/>
        </w:rPr>
        <w:t>民生</w:t>
      </w:r>
      <w:bookmarkEnd w:id="56"/>
      <w:bookmarkEnd w:id="57"/>
      <w:bookmarkEnd w:id="58"/>
      <w:bookmarkEnd w:id="59"/>
      <w:bookmarkEnd w:id="60"/>
      <w:bookmarkEnd w:id="61"/>
      <w:bookmarkEnd w:id="62"/>
      <w:r>
        <w:rPr>
          <w:rFonts w:hint="eastAsia" w:ascii="楷体_GB2312" w:hAnsi="楷体_GB2312" w:eastAsia="楷体_GB2312" w:cs="楷体_GB2312"/>
          <w:b/>
          <w:bCs/>
          <w:spacing w:val="0"/>
          <w:highlight w:val="none"/>
          <w:lang w:eastAsia="zh-CN"/>
        </w:rPr>
        <w:t>。</w:t>
      </w:r>
      <w:r>
        <w:rPr>
          <w:rFonts w:hint="eastAsia"/>
          <w:spacing w:val="0"/>
          <w:highlight w:val="none"/>
          <w:lang w:val="en-US" w:eastAsia="zh-CN"/>
        </w:rPr>
        <w:t>深化</w:t>
      </w:r>
      <w:r>
        <w:rPr>
          <w:spacing w:val="0"/>
          <w:highlight w:val="none"/>
        </w:rPr>
        <w:t>数字医疗</w:t>
      </w:r>
      <w:r>
        <w:rPr>
          <w:rFonts w:hint="eastAsia"/>
          <w:spacing w:val="0"/>
          <w:highlight w:val="none"/>
          <w:lang w:eastAsia="zh-CN"/>
        </w:rPr>
        <w:t>建设</w:t>
      </w:r>
      <w:r>
        <w:rPr>
          <w:spacing w:val="0"/>
          <w:highlight w:val="none"/>
        </w:rPr>
        <w:t>，</w:t>
      </w:r>
      <w:r>
        <w:rPr>
          <w:rFonts w:hint="eastAsia"/>
          <w:spacing w:val="0"/>
          <w:highlight w:val="none"/>
          <w:lang w:val="en-US" w:eastAsia="zh-CN"/>
        </w:rPr>
        <w:t>推进</w:t>
      </w:r>
      <w:r>
        <w:rPr>
          <w:spacing w:val="0"/>
          <w:highlight w:val="none"/>
        </w:rPr>
        <w:t>精准预约、智能问诊等场景</w:t>
      </w:r>
      <w:r>
        <w:rPr>
          <w:rFonts w:hint="eastAsia"/>
          <w:spacing w:val="0"/>
          <w:highlight w:val="none"/>
          <w:lang w:eastAsia="zh-CN"/>
        </w:rPr>
        <w:t>落地</w:t>
      </w:r>
      <w:r>
        <w:rPr>
          <w:spacing w:val="0"/>
          <w:highlight w:val="none"/>
        </w:rPr>
        <w:t>，提升就医体验；建设互联网医院平台，</w:t>
      </w:r>
      <w:r>
        <w:rPr>
          <w:rFonts w:hint="eastAsia"/>
          <w:spacing w:val="0"/>
          <w:highlight w:val="none"/>
          <w:lang w:val="en-US" w:eastAsia="zh-CN"/>
        </w:rPr>
        <w:t xml:space="preserve"> </w:t>
      </w:r>
      <w:r>
        <w:rPr>
          <w:spacing w:val="0"/>
          <w:highlight w:val="none"/>
        </w:rPr>
        <w:t>提供线上服务</w:t>
      </w:r>
      <w:r>
        <w:rPr>
          <w:rFonts w:hint="eastAsia"/>
          <w:spacing w:val="0"/>
          <w:highlight w:val="none"/>
          <w:lang w:eastAsia="zh-CN"/>
        </w:rPr>
        <w:t>、</w:t>
      </w:r>
      <w:r>
        <w:rPr>
          <w:rFonts w:hint="eastAsia"/>
          <w:spacing w:val="0"/>
          <w:highlight w:val="none"/>
          <w:lang w:val="en-US" w:eastAsia="zh-CN"/>
        </w:rPr>
        <w:t>远程诊断等服务</w:t>
      </w:r>
      <w:r>
        <w:rPr>
          <w:spacing w:val="0"/>
          <w:highlight w:val="none"/>
        </w:rPr>
        <w:t>，</w:t>
      </w:r>
      <w:r>
        <w:rPr>
          <w:rFonts w:hint="eastAsia"/>
          <w:spacing w:val="0"/>
          <w:highlight w:val="none"/>
          <w:lang w:val="en-US" w:eastAsia="zh-CN"/>
        </w:rPr>
        <w:t>年服务量超10万人次，缓解线下就医压力；</w:t>
      </w:r>
      <w:r>
        <w:rPr>
          <w:spacing w:val="0"/>
          <w:highlight w:val="none"/>
        </w:rPr>
        <w:t>强化教育服务</w:t>
      </w:r>
      <w:r>
        <w:rPr>
          <w:rFonts w:hint="eastAsia"/>
          <w:spacing w:val="0"/>
          <w:highlight w:val="none"/>
          <w:lang w:eastAsia="zh-CN"/>
        </w:rPr>
        <w:t>数字赋能</w:t>
      </w:r>
      <w:r>
        <w:rPr>
          <w:spacing w:val="0"/>
          <w:highlight w:val="none"/>
        </w:rPr>
        <w:t>，</w:t>
      </w:r>
      <w:r>
        <w:rPr>
          <w:rFonts w:hint="eastAsia"/>
          <w:spacing w:val="0"/>
          <w:highlight w:val="none"/>
        </w:rPr>
        <w:t>全区53所中小学实现</w:t>
      </w:r>
      <w:r>
        <w:rPr>
          <w:rFonts w:hint="eastAsia"/>
          <w:spacing w:val="0"/>
          <w:highlight w:val="none"/>
          <w:lang w:val="en-US" w:eastAsia="zh-CN"/>
        </w:rPr>
        <w:t>千</w:t>
      </w:r>
      <w:r>
        <w:rPr>
          <w:rFonts w:hint="eastAsia"/>
          <w:spacing w:val="0"/>
          <w:highlight w:val="none"/>
        </w:rPr>
        <w:t>兆网络全覆盖，建成高清录播教室124间，教育大数据中心</w:t>
      </w:r>
      <w:r>
        <w:rPr>
          <w:spacing w:val="0"/>
          <w:highlight w:val="none"/>
        </w:rPr>
        <w:t>利用云平台资源，加强教学指导与巡查，探索资源重组方式</w:t>
      </w:r>
      <w:r>
        <w:rPr>
          <w:rFonts w:hint="eastAsia"/>
          <w:spacing w:val="0"/>
          <w:highlight w:val="none"/>
          <w:lang w:eastAsia="zh-CN"/>
        </w:rPr>
        <w:t>，</w:t>
      </w:r>
      <w:r>
        <w:rPr>
          <w:rFonts w:hint="eastAsia"/>
          <w:spacing w:val="0"/>
          <w:highlight w:val="none"/>
        </w:rPr>
        <w:t>支撑100余项业务开展</w:t>
      </w:r>
      <w:r>
        <w:rPr>
          <w:spacing w:val="0"/>
          <w:highlight w:val="none"/>
        </w:rPr>
        <w:t>；建设区教育综合服务平台，满足各类教育业务需求。</w:t>
      </w:r>
      <w:r>
        <w:rPr>
          <w:rFonts w:hint="eastAsia"/>
          <w:spacing w:val="0"/>
          <w:highlight w:val="none"/>
          <w:lang w:val="en-US" w:eastAsia="zh-CN"/>
        </w:rPr>
        <w:t>推动</w:t>
      </w:r>
      <w:r>
        <w:rPr>
          <w:spacing w:val="0"/>
          <w:highlight w:val="none"/>
        </w:rPr>
        <w:t>文体旅服务数字化，建设有声平台、智慧文旅平台等，</w:t>
      </w:r>
      <w:r>
        <w:rPr>
          <w:rFonts w:hint="eastAsia"/>
          <w:spacing w:val="0"/>
          <w:highlight w:val="none"/>
        </w:rPr>
        <w:t>整合全区</w:t>
      </w:r>
      <w:r>
        <w:rPr>
          <w:rFonts w:hint="eastAsia"/>
          <w:spacing w:val="0"/>
          <w:highlight w:val="none"/>
          <w:lang w:val="en-US" w:eastAsia="zh-CN"/>
        </w:rPr>
        <w:t>主要特色</w:t>
      </w:r>
      <w:r>
        <w:rPr>
          <w:rFonts w:hint="eastAsia"/>
          <w:spacing w:val="0"/>
          <w:highlight w:val="none"/>
          <w:lang w:eastAsia="zh-CN"/>
        </w:rPr>
        <w:t>旅游</w:t>
      </w:r>
      <w:r>
        <w:rPr>
          <w:rFonts w:hint="eastAsia"/>
          <w:spacing w:val="0"/>
          <w:highlight w:val="none"/>
        </w:rPr>
        <w:t>资源</w:t>
      </w:r>
      <w:r>
        <w:rPr>
          <w:spacing w:val="0"/>
          <w:highlight w:val="none"/>
        </w:rPr>
        <w:t>；推进东滩自行车小镇等项目建设，筹办国际赛事，发展体育产业。打造全生态型养老服务，</w:t>
      </w:r>
      <w:r>
        <w:rPr>
          <w:rFonts w:hint="eastAsia"/>
          <w:spacing w:val="0"/>
          <w:highlight w:val="none"/>
        </w:rPr>
        <w:t>养老服务监管平台接入智能设备，居家</w:t>
      </w:r>
      <w:r>
        <w:rPr>
          <w:rFonts w:hint="eastAsia"/>
          <w:spacing w:val="0"/>
          <w:highlight w:val="none"/>
          <w:lang w:val="en-US" w:eastAsia="zh-CN"/>
        </w:rPr>
        <w:t>环境</w:t>
      </w:r>
      <w:r>
        <w:rPr>
          <w:rFonts w:hint="eastAsia"/>
          <w:spacing w:val="0"/>
          <w:highlight w:val="none"/>
        </w:rPr>
        <w:t>适老化改造覆盖</w:t>
      </w:r>
      <w:r>
        <w:rPr>
          <w:rFonts w:hint="eastAsia"/>
          <w:color w:val="auto"/>
          <w:spacing w:val="0"/>
          <w:highlight w:val="none"/>
          <w:lang w:val="en-US" w:eastAsia="zh-CN"/>
        </w:rPr>
        <w:t>4500</w:t>
      </w:r>
      <w:r>
        <w:rPr>
          <w:rFonts w:hint="eastAsia"/>
          <w:color w:val="auto"/>
          <w:spacing w:val="0"/>
          <w:highlight w:val="none"/>
        </w:rPr>
        <w:t>户</w:t>
      </w:r>
      <w:r>
        <w:rPr>
          <w:rFonts w:hint="eastAsia"/>
          <w:color w:val="auto"/>
          <w:spacing w:val="0"/>
          <w:highlight w:val="none"/>
          <w:lang w:val="en-US" w:eastAsia="zh-CN"/>
        </w:rPr>
        <w:t>家庭</w:t>
      </w:r>
      <w:r>
        <w:rPr>
          <w:rFonts w:hint="eastAsia"/>
          <w:spacing w:val="0"/>
          <w:highlight w:val="none"/>
          <w:lang w:eastAsia="zh-CN"/>
        </w:rPr>
        <w:t>，</w:t>
      </w:r>
      <w:r>
        <w:rPr>
          <w:spacing w:val="0"/>
          <w:highlight w:val="none"/>
        </w:rPr>
        <w:t>利用“两网”融合</w:t>
      </w:r>
      <w:r>
        <w:rPr>
          <w:rFonts w:hint="eastAsia"/>
          <w:spacing w:val="0"/>
          <w:highlight w:val="none"/>
          <w:lang w:eastAsia="zh-CN"/>
        </w:rPr>
        <w:t>，</w:t>
      </w:r>
      <w:r>
        <w:rPr>
          <w:spacing w:val="0"/>
          <w:highlight w:val="none"/>
        </w:rPr>
        <w:t>提升为老服务和监管效能，坚持传统与数字化服务并行。</w:t>
      </w:r>
    </w:p>
    <w:p w14:paraId="7EC89409">
      <w:pPr>
        <w:pStyle w:val="14"/>
        <w:pageBreakBefore w:val="0"/>
        <w:widowControl w:val="0"/>
        <w:kinsoku/>
        <w:wordWrap/>
        <w:overflowPunct/>
        <w:topLinePunct w:val="0"/>
        <w:autoSpaceDE/>
        <w:autoSpaceDN/>
        <w:bidi w:val="0"/>
        <w:adjustRightInd/>
        <w:spacing w:line="560" w:lineRule="exact"/>
        <w:textAlignment w:val="auto"/>
        <w:rPr>
          <w:spacing w:val="0"/>
          <w:highlight w:val="none"/>
        </w:rPr>
      </w:pPr>
      <w:bookmarkStart w:id="63" w:name="_Toc14206"/>
      <w:bookmarkStart w:id="64" w:name="_Toc205363147"/>
      <w:bookmarkStart w:id="65" w:name="_Toc205207071"/>
      <w:bookmarkStart w:id="66" w:name="_Toc30611"/>
      <w:bookmarkStart w:id="67" w:name="_Toc695"/>
      <w:bookmarkStart w:id="68" w:name="_Toc1092"/>
      <w:bookmarkStart w:id="69" w:name="_Toc13923"/>
      <w:r>
        <w:rPr>
          <w:rFonts w:hint="eastAsia" w:ascii="楷体_GB2312" w:hAnsi="楷体_GB2312" w:eastAsia="楷体_GB2312" w:cs="楷体_GB2312"/>
          <w:b/>
          <w:bCs/>
          <w:spacing w:val="0"/>
          <w:highlight w:val="none"/>
        </w:rPr>
        <w:t>激活经济动能，数字产业活力</w:t>
      </w:r>
      <w:bookmarkEnd w:id="63"/>
      <w:bookmarkEnd w:id="64"/>
      <w:bookmarkEnd w:id="65"/>
      <w:r>
        <w:rPr>
          <w:rFonts w:hint="eastAsia" w:ascii="楷体_GB2312" w:hAnsi="楷体_GB2312" w:eastAsia="楷体_GB2312" w:cs="楷体_GB2312"/>
          <w:b/>
          <w:bCs/>
          <w:spacing w:val="0"/>
          <w:highlight w:val="none"/>
          <w:lang w:val="en-US" w:eastAsia="zh-CN"/>
        </w:rPr>
        <w:t>萌发</w:t>
      </w:r>
      <w:bookmarkEnd w:id="66"/>
      <w:bookmarkEnd w:id="67"/>
      <w:bookmarkEnd w:id="68"/>
      <w:bookmarkEnd w:id="69"/>
      <w:r>
        <w:rPr>
          <w:rFonts w:hint="eastAsia" w:ascii="楷体_GB2312" w:hAnsi="楷体_GB2312" w:eastAsia="楷体_GB2312" w:cs="楷体_GB2312"/>
          <w:b/>
          <w:bCs/>
          <w:spacing w:val="0"/>
          <w:highlight w:val="none"/>
          <w:lang w:val="en-US" w:eastAsia="zh-CN"/>
        </w:rPr>
        <w:t>。</w:t>
      </w:r>
      <w:r>
        <w:rPr>
          <w:spacing w:val="0"/>
          <w:highlight w:val="none"/>
        </w:rPr>
        <w:t>布局数字经济新赛道，依托崇明5G生态创新创业园，推进核心技术攻关和产业化应用研究，提高高新技术企业占比。构筑数字产业发展孵化平台，引进</w:t>
      </w:r>
      <w:r>
        <w:rPr>
          <w:rFonts w:hint="eastAsia"/>
          <w:spacing w:val="0"/>
          <w:highlight w:val="none"/>
          <w:lang w:eastAsia="zh-CN"/>
        </w:rPr>
        <w:t>“</w:t>
      </w:r>
      <w:r>
        <w:rPr>
          <w:spacing w:val="0"/>
          <w:highlight w:val="none"/>
        </w:rPr>
        <w:t>崇小智</w:t>
      </w:r>
      <w:r>
        <w:rPr>
          <w:rFonts w:hint="eastAsia"/>
          <w:spacing w:val="0"/>
          <w:highlight w:val="none"/>
          <w:lang w:eastAsia="zh-CN"/>
        </w:rPr>
        <w:t>”</w:t>
      </w:r>
      <w:r>
        <w:rPr>
          <w:spacing w:val="0"/>
          <w:highlight w:val="none"/>
        </w:rPr>
        <w:t>网络科技，发展电商直播，</w:t>
      </w:r>
      <w:r>
        <w:rPr>
          <w:rFonts w:hint="eastAsia"/>
          <w:spacing w:val="0"/>
          <w:highlight w:val="none"/>
        </w:rPr>
        <w:t>以智慧岛直播基地为核心，联动C77文化创意产业园、北双云流电商产业园，培育21家电商龙头企业，带动农产品销售额突破1亿元</w:t>
      </w:r>
      <w:r>
        <w:rPr>
          <w:spacing w:val="0"/>
          <w:highlight w:val="none"/>
        </w:rPr>
        <w:t>。打造农业智能管控系统，</w:t>
      </w:r>
      <w:r>
        <w:rPr>
          <w:rFonts w:hint="eastAsia"/>
          <w:spacing w:val="0"/>
          <w:highlight w:val="none"/>
        </w:rPr>
        <w:t>部署新能源无人收割机、插秧机器人，</w:t>
      </w:r>
      <w:r>
        <w:rPr>
          <w:rFonts w:hint="eastAsia"/>
          <w:spacing w:val="0"/>
          <w:highlight w:val="none"/>
          <w:lang w:val="en-US" w:eastAsia="zh-CN"/>
        </w:rPr>
        <w:t>推动</w:t>
      </w:r>
      <w:r>
        <w:rPr>
          <w:rFonts w:hint="eastAsia"/>
          <w:spacing w:val="0"/>
          <w:highlight w:val="none"/>
        </w:rPr>
        <w:t>国内首个“5G+智慧农机”示范场景落地万禾有机农场</w:t>
      </w:r>
      <w:r>
        <w:rPr>
          <w:rFonts w:hint="eastAsia"/>
          <w:spacing w:val="0"/>
          <w:highlight w:val="none"/>
          <w:lang w:eastAsia="zh-CN"/>
        </w:rPr>
        <w:t>。</w:t>
      </w:r>
      <w:r>
        <w:rPr>
          <w:spacing w:val="0"/>
          <w:highlight w:val="none"/>
        </w:rPr>
        <w:t>推进全域旅游高质量发展，</w:t>
      </w:r>
      <w:r>
        <w:rPr>
          <w:rFonts w:hint="eastAsia"/>
          <w:spacing w:val="0"/>
          <w:highlight w:val="none"/>
          <w:lang w:val="en-US" w:eastAsia="zh-CN"/>
        </w:rPr>
        <w:t>进一步完善“五区、三带、一环”空间布局，鼓励支持A级旅游景区智慧导览系统建设与升级</w:t>
      </w:r>
      <w:r>
        <w:rPr>
          <w:rFonts w:hint="eastAsia"/>
          <w:spacing w:val="0"/>
          <w:highlight w:val="none"/>
          <w:lang w:eastAsia="zh-CN"/>
        </w:rPr>
        <w:t>。</w:t>
      </w:r>
      <w:r>
        <w:rPr>
          <w:spacing w:val="0"/>
          <w:highlight w:val="none"/>
        </w:rPr>
        <w:t>助推船舶工业转型升级，</w:t>
      </w:r>
      <w:r>
        <w:rPr>
          <w:rFonts w:hint="eastAsia"/>
          <w:spacing w:val="0"/>
          <w:highlight w:val="none"/>
        </w:rPr>
        <w:t>长兴岛智慧船厂（振华重工基地）部署5G+数字孪生平台，实现3000+焊机协同作业。船舶海工基地获评“国家外贸转型升级基地”，5G专网应用</w:t>
      </w:r>
      <w:r>
        <w:rPr>
          <w:rFonts w:hint="eastAsia"/>
          <w:spacing w:val="0"/>
          <w:highlight w:val="none"/>
          <w:lang w:eastAsia="zh-CN"/>
        </w:rPr>
        <w:t>获</w:t>
      </w:r>
      <w:r>
        <w:rPr>
          <w:rFonts w:hint="eastAsia"/>
          <w:spacing w:val="0"/>
          <w:highlight w:val="none"/>
        </w:rPr>
        <w:t>国家级“绽放杯”一等奖。</w:t>
      </w:r>
    </w:p>
    <w:p w14:paraId="15FE53F5">
      <w:pPr>
        <w:pStyle w:val="4"/>
        <w:pageBreakBefore w:val="0"/>
        <w:widowControl w:val="0"/>
        <w:kinsoku/>
        <w:wordWrap/>
        <w:overflowPunct/>
        <w:topLinePunct w:val="0"/>
        <w:autoSpaceDE/>
        <w:autoSpaceDN/>
        <w:bidi w:val="0"/>
        <w:adjustRightInd/>
        <w:snapToGrid/>
        <w:spacing w:line="560" w:lineRule="exact"/>
        <w:textAlignment w:val="auto"/>
        <w:rPr>
          <w:color w:val="auto"/>
          <w:spacing w:val="0"/>
          <w:highlight w:val="none"/>
        </w:rPr>
      </w:pPr>
      <w:bookmarkStart w:id="70" w:name="_Toc29016"/>
      <w:bookmarkStart w:id="71" w:name="_Toc13947"/>
      <w:bookmarkStart w:id="72" w:name="_Toc17825"/>
      <w:bookmarkStart w:id="73" w:name="_Toc10800"/>
      <w:bookmarkStart w:id="74" w:name="_Toc30668"/>
      <w:bookmarkStart w:id="75" w:name="_Toc27252"/>
      <w:bookmarkStart w:id="76" w:name="_Toc8983"/>
      <w:bookmarkStart w:id="77" w:name="_Toc1012589958"/>
      <w:bookmarkStart w:id="78" w:name="_Toc30652"/>
      <w:bookmarkStart w:id="79" w:name="_Toc20553"/>
      <w:bookmarkStart w:id="80" w:name="_Toc1532516196"/>
      <w:bookmarkStart w:id="81" w:name="_Toc1741625698"/>
      <w:r>
        <w:rPr>
          <w:rFonts w:hint="eastAsia"/>
          <w:color w:val="auto"/>
          <w:spacing w:val="0"/>
          <w:highlight w:val="none"/>
          <w:lang w:val="en-US" w:eastAsia="zh-CN"/>
        </w:rPr>
        <w:t>二、</w:t>
      </w:r>
      <w:r>
        <w:rPr>
          <w:rFonts w:hint="default"/>
          <w:color w:val="auto"/>
          <w:spacing w:val="0"/>
          <w:highlight w:val="none"/>
          <w:lang w:val="en-US" w:eastAsia="zh-CN"/>
        </w:rPr>
        <w:t>“</w:t>
      </w:r>
      <w:r>
        <w:rPr>
          <w:rFonts w:hint="eastAsia"/>
          <w:color w:val="auto"/>
          <w:spacing w:val="0"/>
          <w:highlight w:val="none"/>
          <w:lang w:val="en-US" w:eastAsia="zh-CN"/>
        </w:rPr>
        <w:t>十五五</w:t>
      </w:r>
      <w:r>
        <w:rPr>
          <w:rFonts w:hint="default"/>
          <w:color w:val="auto"/>
          <w:spacing w:val="0"/>
          <w:highlight w:val="none"/>
          <w:lang w:val="en-US" w:eastAsia="zh-CN"/>
        </w:rPr>
        <w:t>”</w:t>
      </w:r>
      <w:r>
        <w:rPr>
          <w:rFonts w:hint="eastAsia"/>
          <w:color w:val="auto"/>
          <w:spacing w:val="0"/>
          <w:highlight w:val="none"/>
          <w:lang w:val="en-US" w:eastAsia="zh-CN"/>
        </w:rPr>
        <w:t>期间数字崇明发展的机遇与挑战</w:t>
      </w:r>
      <w:bookmarkEnd w:id="70"/>
      <w:bookmarkEnd w:id="71"/>
      <w:bookmarkEnd w:id="72"/>
      <w:bookmarkEnd w:id="73"/>
      <w:bookmarkEnd w:id="74"/>
      <w:bookmarkEnd w:id="75"/>
      <w:bookmarkEnd w:id="76"/>
      <w:bookmarkEnd w:id="77"/>
      <w:bookmarkEnd w:id="78"/>
      <w:bookmarkEnd w:id="79"/>
      <w:bookmarkEnd w:id="80"/>
      <w:bookmarkEnd w:id="81"/>
    </w:p>
    <w:p w14:paraId="3333E4A8">
      <w:pPr>
        <w:pStyle w:val="14"/>
        <w:pageBreakBefore w:val="0"/>
        <w:widowControl w:val="0"/>
        <w:kinsoku/>
        <w:wordWrap/>
        <w:overflowPunct/>
        <w:topLinePunct w:val="0"/>
        <w:autoSpaceDE/>
        <w:autoSpaceDN/>
        <w:bidi w:val="0"/>
        <w:adjustRightInd/>
        <w:snapToGrid/>
        <w:spacing w:line="560" w:lineRule="exact"/>
        <w:textAlignment w:val="auto"/>
        <w:rPr>
          <w:spacing w:val="0"/>
          <w:highlight w:val="none"/>
        </w:rPr>
      </w:pPr>
      <w:bookmarkStart w:id="82" w:name="_Toc15137"/>
      <w:bookmarkStart w:id="83" w:name="_Toc23086"/>
      <w:bookmarkStart w:id="84" w:name="_Toc10832"/>
      <w:bookmarkStart w:id="85" w:name="_Toc14459"/>
      <w:bookmarkStart w:id="86" w:name="_Toc20877"/>
      <w:r>
        <w:rPr>
          <w:rFonts w:hint="eastAsia" w:ascii="楷体_GB2312" w:hAnsi="楷体_GB2312" w:eastAsia="楷体_GB2312" w:cs="楷体_GB2312"/>
          <w:b/>
          <w:bCs/>
          <w:spacing w:val="0"/>
          <w:sz w:val="30"/>
          <w:szCs w:val="30"/>
          <w:highlight w:val="none"/>
          <w:lang w:val="en-US" w:eastAsia="zh-CN"/>
        </w:rPr>
        <w:t>顺应</w:t>
      </w:r>
      <w:r>
        <w:rPr>
          <w:rFonts w:hint="eastAsia" w:ascii="楷体_GB2312" w:hAnsi="楷体_GB2312" w:eastAsia="楷体_GB2312" w:cs="楷体_GB2312"/>
          <w:b/>
          <w:bCs/>
          <w:spacing w:val="0"/>
          <w:sz w:val="30"/>
          <w:szCs w:val="30"/>
          <w:highlight w:val="none"/>
        </w:rPr>
        <w:t>趋势</w:t>
      </w:r>
      <w:r>
        <w:rPr>
          <w:rFonts w:hint="eastAsia" w:ascii="楷体_GB2312" w:hAnsi="楷体_GB2312" w:eastAsia="楷体_GB2312" w:cs="楷体_GB2312"/>
          <w:b/>
          <w:bCs/>
          <w:spacing w:val="0"/>
          <w:sz w:val="30"/>
          <w:szCs w:val="30"/>
          <w:highlight w:val="none"/>
          <w:lang w:eastAsia="zh-CN"/>
        </w:rPr>
        <w:t>，</w:t>
      </w:r>
      <w:r>
        <w:rPr>
          <w:rFonts w:hint="eastAsia" w:ascii="楷体_GB2312" w:hAnsi="楷体_GB2312" w:eastAsia="楷体_GB2312" w:cs="楷体_GB2312"/>
          <w:b/>
          <w:bCs/>
          <w:spacing w:val="0"/>
          <w:sz w:val="30"/>
          <w:szCs w:val="30"/>
          <w:highlight w:val="none"/>
          <w:lang w:val="en-US" w:eastAsia="zh-CN"/>
        </w:rPr>
        <w:t>抢抓</w:t>
      </w:r>
      <w:r>
        <w:rPr>
          <w:rFonts w:hint="eastAsia" w:ascii="楷体_GB2312" w:hAnsi="楷体_GB2312" w:eastAsia="楷体_GB2312" w:cs="楷体_GB2312"/>
          <w:b/>
          <w:bCs/>
          <w:spacing w:val="0"/>
          <w:sz w:val="30"/>
          <w:szCs w:val="30"/>
          <w:highlight w:val="none"/>
        </w:rPr>
        <w:t>变革筑</w:t>
      </w:r>
      <w:r>
        <w:rPr>
          <w:rFonts w:hint="eastAsia" w:ascii="楷体_GB2312" w:hAnsi="楷体_GB2312" w:eastAsia="楷体_GB2312" w:cs="楷体_GB2312"/>
          <w:b/>
          <w:bCs/>
          <w:spacing w:val="0"/>
          <w:sz w:val="30"/>
          <w:szCs w:val="30"/>
          <w:highlight w:val="none"/>
          <w:lang w:val="en-US" w:eastAsia="zh-CN"/>
        </w:rPr>
        <w:t>牢</w:t>
      </w:r>
      <w:r>
        <w:rPr>
          <w:rFonts w:hint="eastAsia" w:ascii="楷体_GB2312" w:hAnsi="楷体_GB2312" w:eastAsia="楷体_GB2312" w:cs="楷体_GB2312"/>
          <w:b/>
          <w:bCs/>
          <w:spacing w:val="0"/>
          <w:sz w:val="30"/>
          <w:szCs w:val="30"/>
          <w:highlight w:val="none"/>
        </w:rPr>
        <w:t>发展根基</w:t>
      </w:r>
      <w:bookmarkEnd w:id="82"/>
      <w:bookmarkEnd w:id="83"/>
      <w:bookmarkEnd w:id="84"/>
      <w:bookmarkEnd w:id="85"/>
      <w:bookmarkEnd w:id="86"/>
      <w:r>
        <w:rPr>
          <w:rFonts w:hint="eastAsia" w:ascii="楷体_GB2312" w:hAnsi="楷体_GB2312" w:eastAsia="楷体_GB2312" w:cs="楷体_GB2312"/>
          <w:b/>
          <w:bCs/>
          <w:spacing w:val="0"/>
          <w:sz w:val="30"/>
          <w:szCs w:val="30"/>
          <w:highlight w:val="none"/>
          <w:lang w:eastAsia="zh-CN"/>
        </w:rPr>
        <w:t>。</w:t>
      </w:r>
      <w:r>
        <w:rPr>
          <w:rFonts w:hint="eastAsia"/>
          <w:spacing w:val="0"/>
          <w:highlight w:val="none"/>
        </w:rPr>
        <w:t>全球数字经济蓬勃发展成为国际竞争新赛道，崇明借此推动生态农业、文旅产业数字化转型，通过打造智慧农业产业链、开发数字文旅新业态，提升产业竞争力并拓展国际市场合作机会；人工智能、Web3.0、元宇宙、量子计算等前沿技术快速迭代，</w:t>
      </w:r>
      <w:r>
        <w:rPr>
          <w:rFonts w:hint="eastAsia"/>
          <w:spacing w:val="0"/>
          <w:highlight w:val="none"/>
          <w:lang w:val="en-US" w:eastAsia="zh-CN"/>
        </w:rPr>
        <w:t>崇明可通过</w:t>
      </w:r>
      <w:r>
        <w:rPr>
          <w:rFonts w:hint="eastAsia"/>
          <w:spacing w:val="0"/>
          <w:highlight w:val="none"/>
        </w:rPr>
        <w:t>引入</w:t>
      </w:r>
      <w:r>
        <w:rPr>
          <w:rFonts w:hint="eastAsia"/>
          <w:spacing w:val="0"/>
          <w:highlight w:val="none"/>
          <w:lang w:val="en-US" w:eastAsia="zh-CN"/>
        </w:rPr>
        <w:t>先进</w:t>
      </w:r>
      <w:r>
        <w:rPr>
          <w:rFonts w:hint="eastAsia"/>
          <w:spacing w:val="0"/>
          <w:highlight w:val="none"/>
        </w:rPr>
        <w:t>技术，强化系统集成，驱动经济、生活、治理三大领域数字化深度转型，实现农业生产智能化水平提升、文旅体验模式创新及城市治理手段优化</w:t>
      </w:r>
      <w:r>
        <w:rPr>
          <w:rFonts w:hint="eastAsia"/>
          <w:spacing w:val="0"/>
          <w:highlight w:val="none"/>
          <w:lang w:eastAsia="zh-CN"/>
        </w:rPr>
        <w:t>。</w:t>
      </w:r>
      <w:r>
        <w:rPr>
          <w:rFonts w:hint="eastAsia"/>
          <w:color w:val="auto"/>
          <w:spacing w:val="0"/>
          <w:highlight w:val="none"/>
        </w:rPr>
        <w:t>紧扣</w:t>
      </w:r>
      <w:r>
        <w:rPr>
          <w:rFonts w:hint="eastAsia"/>
          <w:color w:val="auto"/>
          <w:spacing w:val="0"/>
          <w:highlight w:val="none"/>
          <w:lang w:eastAsia="zh-CN"/>
        </w:rPr>
        <w:t>党的二十届四中全会“</w:t>
      </w:r>
      <w:r>
        <w:rPr>
          <w:rFonts w:hint="eastAsia"/>
          <w:color w:val="auto"/>
          <w:spacing w:val="0"/>
          <w:highlight w:val="none"/>
        </w:rPr>
        <w:t>数据要素激活新质生产力</w:t>
      </w:r>
      <w:r>
        <w:rPr>
          <w:rFonts w:hint="eastAsia"/>
          <w:color w:val="auto"/>
          <w:spacing w:val="0"/>
          <w:highlight w:val="none"/>
          <w:lang w:eastAsia="zh-CN"/>
        </w:rPr>
        <w:t>”</w:t>
      </w:r>
      <w:r>
        <w:rPr>
          <w:rFonts w:hint="eastAsia"/>
          <w:color w:val="auto"/>
          <w:spacing w:val="0"/>
          <w:highlight w:val="none"/>
        </w:rPr>
        <w:t>导向，数据市场化配置、产权保护成为核心趋势，</w:t>
      </w:r>
      <w:r>
        <w:rPr>
          <w:rFonts w:hint="eastAsia"/>
          <w:spacing w:val="0"/>
          <w:highlight w:val="none"/>
        </w:rPr>
        <w:t>加快建立健全数据要素市场体系，探索数据产权界定、流通交易和收益分配机制，以促进数据要素高效流通吸引数据驱动型企业入驻，为产业创新发展筑牢根基。</w:t>
      </w:r>
    </w:p>
    <w:p w14:paraId="631DC07B">
      <w:pPr>
        <w:pStyle w:val="14"/>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pacing w:val="0"/>
          <w:sz w:val="30"/>
          <w:szCs w:val="30"/>
          <w:highlight w:val="none"/>
        </w:rPr>
      </w:pPr>
      <w:bookmarkStart w:id="87" w:name="_Toc14853"/>
      <w:bookmarkStart w:id="88" w:name="_Toc12175"/>
      <w:bookmarkStart w:id="89" w:name="_Toc5492"/>
      <w:bookmarkStart w:id="90" w:name="_Toc27874"/>
      <w:bookmarkStart w:id="91" w:name="_Toc11543"/>
      <w:r>
        <w:rPr>
          <w:rFonts w:hint="eastAsia" w:ascii="楷体_GB2312" w:hAnsi="楷体_GB2312" w:eastAsia="楷体_GB2312" w:cs="楷体_GB2312"/>
          <w:b/>
          <w:bCs/>
          <w:spacing w:val="0"/>
          <w:sz w:val="30"/>
          <w:szCs w:val="30"/>
          <w:highlight w:val="none"/>
        </w:rPr>
        <w:t>机遇叠加</w:t>
      </w:r>
      <w:r>
        <w:rPr>
          <w:rFonts w:hint="eastAsia" w:ascii="楷体_GB2312" w:hAnsi="楷体_GB2312" w:eastAsia="楷体_GB2312" w:cs="楷体_GB2312"/>
          <w:b/>
          <w:bCs/>
          <w:spacing w:val="0"/>
          <w:sz w:val="30"/>
          <w:szCs w:val="30"/>
          <w:highlight w:val="none"/>
          <w:lang w:eastAsia="zh-CN"/>
        </w:rPr>
        <w:t>，</w:t>
      </w:r>
      <w:r>
        <w:rPr>
          <w:rFonts w:hint="eastAsia" w:ascii="楷体_GB2312" w:hAnsi="楷体_GB2312" w:eastAsia="楷体_GB2312" w:cs="楷体_GB2312"/>
          <w:b/>
          <w:bCs/>
          <w:spacing w:val="0"/>
          <w:sz w:val="30"/>
          <w:szCs w:val="30"/>
          <w:highlight w:val="none"/>
        </w:rPr>
        <w:t>内外合力</w:t>
      </w:r>
      <w:r>
        <w:rPr>
          <w:rFonts w:hint="eastAsia" w:ascii="楷体_GB2312" w:hAnsi="楷体_GB2312" w:eastAsia="楷体_GB2312" w:cs="楷体_GB2312"/>
          <w:b/>
          <w:bCs/>
          <w:spacing w:val="0"/>
          <w:sz w:val="30"/>
          <w:szCs w:val="30"/>
          <w:highlight w:val="none"/>
          <w:lang w:val="en-US" w:eastAsia="zh-CN"/>
        </w:rPr>
        <w:t>开创</w:t>
      </w:r>
      <w:r>
        <w:rPr>
          <w:rFonts w:hint="eastAsia" w:ascii="楷体_GB2312" w:hAnsi="楷体_GB2312" w:eastAsia="楷体_GB2312" w:cs="楷体_GB2312"/>
          <w:b/>
          <w:bCs/>
          <w:spacing w:val="0"/>
          <w:sz w:val="30"/>
          <w:szCs w:val="30"/>
          <w:highlight w:val="none"/>
        </w:rPr>
        <w:t>转型新局</w:t>
      </w:r>
      <w:bookmarkEnd w:id="87"/>
      <w:bookmarkEnd w:id="88"/>
      <w:bookmarkEnd w:id="89"/>
      <w:bookmarkEnd w:id="90"/>
      <w:bookmarkEnd w:id="91"/>
      <w:r>
        <w:rPr>
          <w:rFonts w:hint="eastAsia" w:ascii="楷体_GB2312" w:hAnsi="楷体_GB2312" w:eastAsia="楷体_GB2312" w:cs="楷体_GB2312"/>
          <w:b/>
          <w:bCs/>
          <w:spacing w:val="0"/>
          <w:sz w:val="30"/>
          <w:szCs w:val="30"/>
          <w:highlight w:val="none"/>
          <w:lang w:eastAsia="zh-CN"/>
        </w:rPr>
        <w:t>。</w:t>
      </w:r>
      <w:r>
        <w:rPr>
          <w:rFonts w:hint="eastAsia"/>
          <w:spacing w:val="0"/>
          <w:highlight w:val="none"/>
        </w:rPr>
        <w:t>政策与技术双重红利为发展蓄势。国家和</w:t>
      </w:r>
      <w:r>
        <w:rPr>
          <w:rFonts w:hint="eastAsia"/>
          <w:spacing w:val="0"/>
          <w:highlight w:val="none"/>
          <w:lang w:val="en-US" w:eastAsia="zh-CN"/>
        </w:rPr>
        <w:t>本</w:t>
      </w:r>
      <w:r>
        <w:rPr>
          <w:rFonts w:hint="eastAsia"/>
          <w:spacing w:val="0"/>
          <w:highlight w:val="none"/>
        </w:rPr>
        <w:t>市持续加大对数字经济和数字化转型</w:t>
      </w:r>
      <w:r>
        <w:rPr>
          <w:rFonts w:hint="eastAsia"/>
          <w:spacing w:val="0"/>
          <w:highlight w:val="none"/>
          <w:lang w:val="en-US" w:eastAsia="zh-CN"/>
        </w:rPr>
        <w:t>的</w:t>
      </w:r>
      <w:r>
        <w:rPr>
          <w:rFonts w:hint="eastAsia"/>
          <w:spacing w:val="0"/>
          <w:highlight w:val="none"/>
        </w:rPr>
        <w:t>政策支持，</w:t>
      </w:r>
      <w:r>
        <w:rPr>
          <w:rFonts w:hint="eastAsia"/>
          <w:spacing w:val="0"/>
          <w:highlight w:val="none"/>
          <w:lang w:eastAsia="zh-CN"/>
        </w:rPr>
        <w:t>颁布</w:t>
      </w:r>
      <w:r>
        <w:rPr>
          <w:rFonts w:hint="eastAsia"/>
          <w:spacing w:val="0"/>
          <w:highlight w:val="none"/>
        </w:rPr>
        <w:t>培育全国一体化技术和数据市场等政策，为崇明数据要素市场建设和数字产业发展提供坚实政策保障；全球经济力量重心向亚太地区转移，数字经济合作成为共建“一带一路”新领域，崇明可依托自身生态优势吸引国际数字经济资源，进一步拓展国际合作空间；人工智能、区块链、卫星遥感等技术加速迭代，为破解生态保护与经济发展平衡难题提供新工具</w:t>
      </w:r>
      <w:r>
        <w:rPr>
          <w:rFonts w:hint="eastAsia"/>
          <w:spacing w:val="0"/>
          <w:highlight w:val="none"/>
          <w:lang w:eastAsia="zh-CN"/>
        </w:rPr>
        <w:t>。</w:t>
      </w:r>
      <w:r>
        <w:rPr>
          <w:rFonts w:hint="eastAsia"/>
          <w:spacing w:val="0"/>
          <w:highlight w:val="none"/>
        </w:rPr>
        <w:t>区块链技术赋能农产品溯源，数字孪生技术应用于生态规划，元宇宙等新业态更有望推动生态资源向体验经济转化，形成生态价值转化良性循环。</w:t>
      </w:r>
      <w:r>
        <w:rPr>
          <w:rFonts w:hint="eastAsia"/>
          <w:spacing w:val="0"/>
          <w:highlight w:val="none"/>
          <w:lang w:val="en-US" w:eastAsia="zh-CN"/>
        </w:rPr>
        <w:t>以</w:t>
      </w:r>
      <w:r>
        <w:rPr>
          <w:rFonts w:hint="eastAsia"/>
          <w:color w:val="auto"/>
          <w:spacing w:val="0"/>
          <w:highlight w:val="none"/>
        </w:rPr>
        <w:t>国家算力网络 “数网算电” 融合发展方向，</w:t>
      </w:r>
      <w:r>
        <w:rPr>
          <w:rFonts w:hint="eastAsia"/>
          <w:color w:val="auto"/>
          <w:spacing w:val="0"/>
          <w:highlight w:val="none"/>
          <w:lang w:val="en-US" w:eastAsia="zh-CN"/>
        </w:rPr>
        <w:t>依托生态绿电优势，</w:t>
      </w:r>
      <w:r>
        <w:rPr>
          <w:rFonts w:hint="eastAsia"/>
          <w:color w:val="auto"/>
          <w:spacing w:val="0"/>
          <w:highlight w:val="none"/>
        </w:rPr>
        <w:t>打造低碳算力节点，承接长三角绿色算力需求。</w:t>
      </w:r>
      <w:bookmarkStart w:id="92" w:name="_Toc13658"/>
      <w:bookmarkStart w:id="93" w:name="_Toc12951"/>
      <w:bookmarkStart w:id="94" w:name="_Toc14706"/>
      <w:bookmarkStart w:id="95" w:name="_Toc14586"/>
      <w:bookmarkStart w:id="96" w:name="_Toc24450"/>
    </w:p>
    <w:bookmarkEnd w:id="92"/>
    <w:bookmarkEnd w:id="93"/>
    <w:bookmarkEnd w:id="94"/>
    <w:bookmarkEnd w:id="95"/>
    <w:bookmarkEnd w:id="96"/>
    <w:p w14:paraId="61022B37">
      <w:pPr>
        <w:pStyle w:val="14"/>
        <w:pageBreakBefore w:val="0"/>
        <w:widowControl w:val="0"/>
        <w:kinsoku/>
        <w:wordWrap/>
        <w:overflowPunct/>
        <w:topLinePunct w:val="0"/>
        <w:autoSpaceDE/>
        <w:autoSpaceDN/>
        <w:bidi w:val="0"/>
        <w:adjustRightInd/>
        <w:snapToGrid/>
        <w:spacing w:line="560" w:lineRule="exact"/>
        <w:textAlignment w:val="auto"/>
        <w:rPr>
          <w:spacing w:val="0"/>
          <w:highlight w:val="none"/>
        </w:rPr>
      </w:pPr>
      <w:r>
        <w:rPr>
          <w:rFonts w:hint="eastAsia" w:ascii="楷体_GB2312" w:hAnsi="楷体_GB2312" w:eastAsia="楷体_GB2312" w:cs="楷体_GB2312"/>
          <w:b/>
          <w:bCs/>
          <w:spacing w:val="0"/>
          <w:sz w:val="30"/>
          <w:szCs w:val="30"/>
          <w:highlight w:val="none"/>
          <w:lang w:eastAsia="zh-CN"/>
        </w:rPr>
        <w:t>瓶颈</w:t>
      </w:r>
      <w:r>
        <w:rPr>
          <w:rFonts w:hint="eastAsia" w:ascii="楷体_GB2312" w:hAnsi="楷体_GB2312" w:eastAsia="楷体_GB2312" w:cs="楷体_GB2312"/>
          <w:b/>
          <w:bCs/>
          <w:spacing w:val="0"/>
          <w:sz w:val="30"/>
          <w:szCs w:val="30"/>
          <w:highlight w:val="none"/>
          <w:lang w:val="en-US" w:eastAsia="zh-CN"/>
        </w:rPr>
        <w:t>攻坚</w:t>
      </w:r>
      <w:r>
        <w:rPr>
          <w:rFonts w:hint="eastAsia" w:ascii="楷体_GB2312" w:hAnsi="楷体_GB2312" w:eastAsia="楷体_GB2312" w:cs="楷体_GB2312"/>
          <w:b/>
          <w:bCs/>
          <w:spacing w:val="0"/>
          <w:sz w:val="30"/>
          <w:szCs w:val="30"/>
          <w:highlight w:val="none"/>
          <w:lang w:eastAsia="zh-CN"/>
        </w:rPr>
        <w:t>，</w:t>
      </w:r>
      <w:r>
        <w:rPr>
          <w:rFonts w:hint="eastAsia" w:ascii="楷体_GB2312" w:hAnsi="楷体_GB2312" w:eastAsia="楷体_GB2312" w:cs="楷体_GB2312"/>
          <w:b/>
          <w:bCs/>
          <w:spacing w:val="0"/>
          <w:sz w:val="30"/>
          <w:szCs w:val="30"/>
          <w:highlight w:val="none"/>
          <w:lang w:val="en-US" w:eastAsia="zh-CN"/>
        </w:rPr>
        <w:t>补齐</w:t>
      </w:r>
      <w:r>
        <w:rPr>
          <w:rFonts w:hint="eastAsia" w:ascii="楷体_GB2312" w:hAnsi="楷体_GB2312" w:eastAsia="楷体_GB2312" w:cs="楷体_GB2312"/>
          <w:b/>
          <w:bCs/>
          <w:spacing w:val="0"/>
          <w:sz w:val="30"/>
          <w:szCs w:val="30"/>
          <w:highlight w:val="none"/>
          <w:lang w:eastAsia="zh-CN"/>
        </w:rPr>
        <w:t>短板</w:t>
      </w:r>
      <w:r>
        <w:rPr>
          <w:rFonts w:hint="eastAsia" w:ascii="楷体_GB2312" w:hAnsi="楷体_GB2312" w:eastAsia="楷体_GB2312" w:cs="楷体_GB2312"/>
          <w:b/>
          <w:bCs/>
          <w:spacing w:val="0"/>
          <w:sz w:val="30"/>
          <w:szCs w:val="30"/>
          <w:highlight w:val="none"/>
          <w:lang w:val="en-US" w:eastAsia="zh-CN"/>
        </w:rPr>
        <w:t>打通</w:t>
      </w:r>
      <w:r>
        <w:rPr>
          <w:rFonts w:hint="eastAsia" w:ascii="楷体_GB2312" w:hAnsi="楷体_GB2312" w:eastAsia="楷体_GB2312" w:cs="楷体_GB2312"/>
          <w:b/>
          <w:bCs/>
          <w:spacing w:val="0"/>
          <w:sz w:val="30"/>
          <w:szCs w:val="30"/>
          <w:highlight w:val="none"/>
          <w:lang w:eastAsia="zh-CN"/>
        </w:rPr>
        <w:t>发展堵点。</w:t>
      </w:r>
      <w:r>
        <w:rPr>
          <w:rFonts w:hint="eastAsia"/>
          <w:spacing w:val="0"/>
          <w:highlight w:val="none"/>
        </w:rPr>
        <w:t>转型深水区面临多重挑战亟待破解。数据要素市场建设存在规则</w:t>
      </w:r>
      <w:r>
        <w:rPr>
          <w:rFonts w:hint="eastAsia"/>
          <w:spacing w:val="0"/>
          <w:highlight w:val="none"/>
          <w:lang w:val="en-US" w:eastAsia="zh-CN"/>
        </w:rPr>
        <w:t>和基础设施</w:t>
      </w:r>
      <w:r>
        <w:rPr>
          <w:rFonts w:hint="eastAsia"/>
          <w:spacing w:val="0"/>
          <w:highlight w:val="none"/>
        </w:rPr>
        <w:t>不健全、流通不畅、治理困难和生态不完善等问题，制约数据价值充分释放；数字技术创新能力不足，高端人才匮乏且成果转化效率有待提高，难以支撑产业高质量发展需求；</w:t>
      </w:r>
      <w:r>
        <w:rPr>
          <w:rFonts w:hint="eastAsia" w:ascii="仿宋_GB2312" w:hAnsi="仿宋_GB2312" w:eastAsia="仿宋_GB2312" w:cs="Times New Roman"/>
          <w:spacing w:val="0"/>
          <w:sz w:val="30"/>
          <w:szCs w:val="30"/>
          <w:highlight w:val="none"/>
        </w:rPr>
        <w:t>数字化场景建设在统筹协同方面仍有提升空间，部分场景存在供需衔接不够精准、示范亮点多但整体规模化效应不足的情况</w:t>
      </w:r>
      <w:r>
        <w:rPr>
          <w:rFonts w:hint="eastAsia" w:cs="Times New Roman"/>
          <w:spacing w:val="0"/>
          <w:sz w:val="30"/>
          <w:szCs w:val="30"/>
          <w:highlight w:val="none"/>
          <w:lang w:eastAsia="zh-CN"/>
        </w:rPr>
        <w:t>；</w:t>
      </w:r>
      <w:r>
        <w:rPr>
          <w:rFonts w:hint="eastAsia" w:ascii="仿宋_GB2312" w:hAnsi="仿宋_GB2312" w:eastAsia="仿宋_GB2312" w:cs="Times New Roman"/>
          <w:spacing w:val="0"/>
          <w:sz w:val="30"/>
          <w:szCs w:val="30"/>
          <w:highlight w:val="none"/>
        </w:rPr>
        <w:t>老年群体及中小企业在数字化应用中仍面临一定门槛，数字鸿沟问题较为明显</w:t>
      </w:r>
      <w:r>
        <w:rPr>
          <w:rFonts w:hint="eastAsia"/>
          <w:spacing w:val="0"/>
          <w:highlight w:val="none"/>
        </w:rPr>
        <w:t>；数字城市建设的体制机制、制度规则和运营模式仍有待完善，技术、市场和治理逻辑尚未实现有机统一，影响数字化转型的系统性推进。</w:t>
      </w:r>
    </w:p>
    <w:p w14:paraId="363BD81E">
      <w:pPr>
        <w:pageBreakBefore w:val="0"/>
        <w:widowControl w:val="0"/>
        <w:kinsoku/>
        <w:wordWrap/>
        <w:overflowPunct/>
        <w:topLinePunct w:val="0"/>
        <w:autoSpaceDE/>
        <w:autoSpaceDN/>
        <w:bidi w:val="0"/>
        <w:adjustRightInd/>
        <w:snapToGrid/>
        <w:spacing w:line="560" w:lineRule="exact"/>
        <w:textAlignment w:val="auto"/>
        <w:rPr>
          <w:rFonts w:hint="eastAsia"/>
          <w:color w:val="auto"/>
          <w:spacing w:val="0"/>
          <w:highlight w:val="none"/>
          <w:lang w:val="en-US" w:eastAsia="zh-CN"/>
        </w:rPr>
      </w:pPr>
      <w:bookmarkStart w:id="97" w:name="_Toc205207084"/>
      <w:bookmarkStart w:id="98" w:name="_Toc205363160"/>
      <w:bookmarkStart w:id="99" w:name="_Toc410812703"/>
      <w:bookmarkStart w:id="100" w:name="_Toc27910"/>
      <w:bookmarkStart w:id="101" w:name="_Toc28439"/>
      <w:bookmarkStart w:id="102" w:name="_Toc551300384"/>
      <w:bookmarkStart w:id="103" w:name="_Toc18039"/>
      <w:bookmarkStart w:id="104" w:name="_Toc2560"/>
      <w:bookmarkStart w:id="105" w:name="_Toc2952"/>
      <w:r>
        <w:rPr>
          <w:rFonts w:hint="eastAsia"/>
          <w:color w:val="auto"/>
          <w:spacing w:val="0"/>
          <w:highlight w:val="none"/>
          <w:lang w:val="en-US" w:eastAsia="zh-CN"/>
        </w:rPr>
        <w:br w:type="page"/>
      </w:r>
    </w:p>
    <w:p w14:paraId="5F81741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spacing w:val="0"/>
          <w:highlight w:val="none"/>
        </w:rPr>
      </w:pPr>
      <w:bookmarkStart w:id="106" w:name="_Toc4323"/>
      <w:bookmarkStart w:id="107" w:name="_Toc24554"/>
      <w:bookmarkStart w:id="108" w:name="_Toc356699564"/>
      <w:bookmarkStart w:id="109" w:name="_Toc12099"/>
      <w:bookmarkStart w:id="110" w:name="_Toc24584"/>
      <w:r>
        <w:rPr>
          <w:rFonts w:hint="eastAsia"/>
          <w:spacing w:val="0"/>
          <w:highlight w:val="none"/>
          <w:lang w:val="en-US" w:eastAsia="zh-CN"/>
        </w:rPr>
        <w:t>第二章、聚焦</w:t>
      </w:r>
      <w:r>
        <w:rPr>
          <w:spacing w:val="0"/>
          <w:highlight w:val="none"/>
        </w:rPr>
        <w:t>世界</w:t>
      </w:r>
      <w:r>
        <w:rPr>
          <w:rFonts w:hint="eastAsia"/>
          <w:spacing w:val="0"/>
          <w:highlight w:val="none"/>
          <w:lang w:val="en-US" w:eastAsia="zh-CN"/>
        </w:rPr>
        <w:t>级</w:t>
      </w:r>
      <w:r>
        <w:rPr>
          <w:spacing w:val="0"/>
          <w:highlight w:val="none"/>
        </w:rPr>
        <w:t>生态岛建设</w:t>
      </w:r>
      <w:bookmarkEnd w:id="97"/>
      <w:bookmarkEnd w:id="98"/>
      <w:r>
        <w:rPr>
          <w:rFonts w:hint="eastAsia"/>
          <w:spacing w:val="0"/>
          <w:highlight w:val="none"/>
          <w:lang w:val="en-US" w:eastAsia="zh-CN"/>
        </w:rPr>
        <w:t>目标</w:t>
      </w:r>
      <w:r>
        <w:rPr>
          <w:rFonts w:hint="eastAsia"/>
          <w:spacing w:val="0"/>
          <w:highlight w:val="none"/>
          <w:lang w:eastAsia="zh-CN"/>
        </w:rPr>
        <w:t>，</w:t>
      </w:r>
      <w:r>
        <w:rPr>
          <w:spacing w:val="0"/>
          <w:highlight w:val="none"/>
        </w:rPr>
        <w:t>赋能</w:t>
      </w:r>
      <w:r>
        <w:rPr>
          <w:rFonts w:hint="eastAsia"/>
          <w:spacing w:val="0"/>
          <w:highlight w:val="none"/>
          <w:lang w:val="en-US" w:eastAsia="zh-CN"/>
        </w:rPr>
        <w:t>新发展</w:t>
      </w:r>
      <w:bookmarkEnd w:id="99"/>
      <w:bookmarkEnd w:id="100"/>
      <w:bookmarkEnd w:id="101"/>
      <w:bookmarkEnd w:id="102"/>
      <w:bookmarkEnd w:id="103"/>
      <w:bookmarkEnd w:id="104"/>
      <w:bookmarkEnd w:id="105"/>
      <w:bookmarkEnd w:id="106"/>
      <w:bookmarkEnd w:id="107"/>
      <w:bookmarkEnd w:id="108"/>
      <w:bookmarkEnd w:id="109"/>
      <w:bookmarkEnd w:id="110"/>
    </w:p>
    <w:p w14:paraId="23C1BBF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jc w:val="both"/>
        <w:textAlignment w:val="auto"/>
        <w:rPr>
          <w:b w:val="0"/>
          <w:color w:val="auto"/>
          <w:spacing w:val="0"/>
          <w:sz w:val="32"/>
          <w:szCs w:val="32"/>
          <w:highlight w:val="none"/>
        </w:rPr>
      </w:pPr>
      <w:bookmarkStart w:id="111" w:name="_Toc205363161"/>
      <w:bookmarkStart w:id="112" w:name="_Toc2149"/>
      <w:bookmarkStart w:id="113" w:name="_Toc1821513676"/>
      <w:bookmarkStart w:id="114" w:name="_Toc378378084"/>
      <w:bookmarkStart w:id="115" w:name="_Toc12400"/>
      <w:bookmarkStart w:id="116" w:name="_Toc3891"/>
      <w:bookmarkStart w:id="117" w:name="_Toc4785"/>
      <w:bookmarkStart w:id="118" w:name="_Toc205207085"/>
      <w:bookmarkStart w:id="119" w:name="_Toc22488"/>
      <w:bookmarkStart w:id="120" w:name="_Toc29606"/>
      <w:bookmarkStart w:id="121" w:name="_Toc5862"/>
      <w:bookmarkStart w:id="122" w:name="_Toc5503"/>
      <w:bookmarkStart w:id="123" w:name="_Toc15009"/>
      <w:bookmarkStart w:id="124" w:name="_Toc443643978"/>
      <w:r>
        <w:rPr>
          <w:rFonts w:hint="eastAsia"/>
          <w:color w:val="auto"/>
          <w:spacing w:val="0"/>
          <w:sz w:val="32"/>
          <w:szCs w:val="32"/>
          <w:highlight w:val="none"/>
          <w:lang w:eastAsia="zh-CN"/>
        </w:rPr>
        <w:t>一、</w:t>
      </w:r>
      <w:r>
        <w:rPr>
          <w:color w:val="auto"/>
          <w:spacing w:val="0"/>
          <w:sz w:val="32"/>
          <w:szCs w:val="32"/>
          <w:highlight w:val="none"/>
        </w:rPr>
        <w:t>指导思想</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90B792B">
      <w:pPr>
        <w:pStyle w:val="1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olor w:val="auto"/>
          <w:spacing w:val="0"/>
          <w:sz w:val="30"/>
          <w:szCs w:val="30"/>
          <w:highlight w:val="none"/>
          <w:lang w:val="en-US" w:eastAsia="zh-CN"/>
        </w:rPr>
      </w:pPr>
      <w:r>
        <w:rPr>
          <w:color w:val="auto"/>
          <w:spacing w:val="0"/>
          <w:sz w:val="30"/>
          <w:szCs w:val="30"/>
          <w:highlight w:val="none"/>
        </w:rPr>
        <w:t>坚</w:t>
      </w:r>
      <w:r>
        <w:rPr>
          <w:rFonts w:hint="eastAsia"/>
          <w:color w:val="auto"/>
          <w:spacing w:val="0"/>
          <w:sz w:val="30"/>
          <w:szCs w:val="30"/>
          <w:highlight w:val="none"/>
          <w:lang w:eastAsia="zh-CN"/>
        </w:rPr>
        <w:t>持以“</w:t>
      </w:r>
      <w:r>
        <w:rPr>
          <w:rFonts w:hint="eastAsia"/>
          <w:color w:val="auto"/>
          <w:spacing w:val="0"/>
          <w:sz w:val="30"/>
          <w:szCs w:val="30"/>
          <w:highlight w:val="none"/>
          <w:lang w:val="en-US" w:eastAsia="zh-CN"/>
        </w:rPr>
        <w:t>数字中国”“网络强国”战略为指引，紧扣党的二十届四中全会“数据要素激活新质生产力”核心导向与国家数据局“制度健全、设施升级、融合赋能”部署，紧密围绕崇明世界级生态岛建设总体目标，聚焦数据要素市场化配置与新质生产力培育，以数字化驱动生产、生活、治理方式系统性重塑，构建数字技术与生态保护、经济发展、社会治理深度融合的新格局。聚焦民生服务与治理效能提升，打造“数字惠民”新范式，形成生态优先、绿色发展为导向的数字化转型新路径。</w:t>
      </w:r>
      <w:r>
        <w:rPr>
          <w:color w:val="auto"/>
          <w:spacing w:val="0"/>
          <w:sz w:val="30"/>
          <w:szCs w:val="30"/>
          <w:highlight w:val="none"/>
        </w:rPr>
        <w:t>坚持数字建设与生态保护协同共生，</w:t>
      </w:r>
      <w:r>
        <w:rPr>
          <w:rFonts w:hint="eastAsia"/>
          <w:color w:val="auto"/>
          <w:spacing w:val="0"/>
          <w:sz w:val="30"/>
          <w:szCs w:val="30"/>
          <w:highlight w:val="none"/>
          <w:lang w:val="en-US" w:eastAsia="zh-CN"/>
        </w:rPr>
        <w:t>通过数字技术重构生产、生活、生态关系，实现生态价值转化与数字价值释放的双向赋能，</w:t>
      </w:r>
      <w:r>
        <w:rPr>
          <w:color w:val="auto"/>
          <w:spacing w:val="0"/>
          <w:sz w:val="30"/>
          <w:szCs w:val="30"/>
          <w:highlight w:val="none"/>
        </w:rPr>
        <w:t>推动数字基础设施低碳化、数据应用绿色化，衔接长三角一体化数字生态共建</w:t>
      </w:r>
      <w:r>
        <w:rPr>
          <w:rFonts w:hint="eastAsia"/>
          <w:color w:val="auto"/>
          <w:spacing w:val="0"/>
          <w:sz w:val="30"/>
          <w:szCs w:val="30"/>
          <w:highlight w:val="none"/>
          <w:lang w:eastAsia="zh-CN"/>
        </w:rPr>
        <w:t>，</w:t>
      </w:r>
      <w:r>
        <w:rPr>
          <w:color w:val="auto"/>
          <w:spacing w:val="0"/>
          <w:sz w:val="30"/>
          <w:szCs w:val="30"/>
          <w:highlight w:val="none"/>
        </w:rPr>
        <w:t>为崇明世界级生态岛建设</w:t>
      </w:r>
      <w:r>
        <w:rPr>
          <w:rFonts w:hint="eastAsia"/>
          <w:color w:val="auto"/>
          <w:spacing w:val="0"/>
          <w:sz w:val="30"/>
          <w:szCs w:val="30"/>
          <w:highlight w:val="none"/>
          <w:lang w:val="en-US" w:eastAsia="zh-CN"/>
        </w:rPr>
        <w:t>注入</w:t>
      </w:r>
      <w:r>
        <w:rPr>
          <w:color w:val="auto"/>
          <w:spacing w:val="0"/>
          <w:sz w:val="30"/>
          <w:szCs w:val="30"/>
          <w:highlight w:val="none"/>
        </w:rPr>
        <w:t>强大数字</w:t>
      </w:r>
      <w:r>
        <w:rPr>
          <w:rFonts w:hint="eastAsia"/>
          <w:color w:val="auto"/>
          <w:spacing w:val="0"/>
          <w:sz w:val="30"/>
          <w:szCs w:val="30"/>
          <w:highlight w:val="none"/>
          <w:lang w:val="en-US" w:eastAsia="zh-CN"/>
        </w:rPr>
        <w:t>动能。</w:t>
      </w:r>
    </w:p>
    <w:p w14:paraId="28826B1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jc w:val="both"/>
        <w:textAlignment w:val="auto"/>
        <w:rPr>
          <w:b w:val="0"/>
          <w:color w:val="auto"/>
          <w:spacing w:val="0"/>
          <w:sz w:val="32"/>
          <w:szCs w:val="32"/>
          <w:highlight w:val="none"/>
        </w:rPr>
      </w:pPr>
      <w:bookmarkStart w:id="125" w:name="_Toc808718759"/>
      <w:bookmarkStart w:id="126" w:name="_Toc28953"/>
      <w:bookmarkStart w:id="127" w:name="_Toc205363162"/>
      <w:bookmarkStart w:id="128" w:name="_Toc877619218"/>
      <w:bookmarkStart w:id="129" w:name="_Toc27590"/>
      <w:bookmarkStart w:id="130" w:name="_Toc7947"/>
      <w:bookmarkStart w:id="131" w:name="_Toc32396"/>
      <w:bookmarkStart w:id="132" w:name="_Toc4334"/>
      <w:bookmarkStart w:id="133" w:name="_Toc23760"/>
      <w:bookmarkStart w:id="134" w:name="_Toc110604749"/>
      <w:bookmarkStart w:id="135" w:name="_Toc205207086"/>
      <w:bookmarkStart w:id="136" w:name="_Toc19387"/>
      <w:bookmarkStart w:id="137" w:name="_Toc31717"/>
      <w:bookmarkStart w:id="138" w:name="_Toc20255"/>
      <w:r>
        <w:rPr>
          <w:rFonts w:hint="eastAsia"/>
          <w:color w:val="auto"/>
          <w:spacing w:val="0"/>
          <w:sz w:val="32"/>
          <w:szCs w:val="32"/>
          <w:highlight w:val="none"/>
          <w:lang w:eastAsia="zh-CN"/>
        </w:rPr>
        <w:t>二、</w:t>
      </w:r>
      <w:r>
        <w:rPr>
          <w:color w:val="auto"/>
          <w:spacing w:val="0"/>
          <w:sz w:val="32"/>
          <w:szCs w:val="32"/>
          <w:highlight w:val="none"/>
        </w:rPr>
        <w:t>基本原则</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83DCC31">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color w:val="auto"/>
          <w:spacing w:val="0"/>
          <w:sz w:val="30"/>
          <w:szCs w:val="30"/>
          <w:highlight w:val="none"/>
        </w:rPr>
      </w:pPr>
      <w:bookmarkStart w:id="139" w:name="_Toc15499"/>
      <w:bookmarkStart w:id="140" w:name="_Toc27530"/>
      <w:bookmarkStart w:id="141" w:name="_Toc17016"/>
      <w:bookmarkStart w:id="142" w:name="_Toc2692"/>
      <w:bookmarkStart w:id="143" w:name="_Toc13418"/>
      <w:r>
        <w:rPr>
          <w:rFonts w:hint="eastAsia" w:ascii="楷体_GB2312" w:hAnsi="楷体_GB2312" w:eastAsia="楷体_GB2312" w:cs="楷体_GB2312"/>
          <w:b/>
          <w:bCs/>
          <w:spacing w:val="0"/>
          <w:sz w:val="30"/>
          <w:szCs w:val="30"/>
          <w:highlight w:val="none"/>
          <w:lang w:val="en-US" w:eastAsia="zh-CN"/>
        </w:rPr>
        <w:t>坚持</w:t>
      </w:r>
      <w:bookmarkEnd w:id="139"/>
      <w:r>
        <w:rPr>
          <w:rFonts w:hint="eastAsia" w:ascii="楷体_GB2312" w:hAnsi="楷体_GB2312" w:eastAsia="楷体_GB2312" w:cs="楷体_GB2312"/>
          <w:b/>
          <w:bCs/>
          <w:spacing w:val="0"/>
          <w:sz w:val="30"/>
          <w:szCs w:val="30"/>
          <w:highlight w:val="none"/>
          <w:lang w:val="en-US" w:eastAsia="zh-CN"/>
        </w:rPr>
        <w:t>系统集成</w:t>
      </w:r>
      <w:bookmarkEnd w:id="140"/>
      <w:bookmarkEnd w:id="141"/>
      <w:bookmarkEnd w:id="142"/>
      <w:bookmarkEnd w:id="143"/>
      <w:r>
        <w:rPr>
          <w:rFonts w:hint="eastAsia" w:ascii="楷体_GB2312" w:hAnsi="楷体_GB2312" w:eastAsia="楷体_GB2312" w:cs="楷体_GB2312"/>
          <w:b/>
          <w:bCs/>
          <w:spacing w:val="0"/>
          <w:sz w:val="30"/>
          <w:szCs w:val="30"/>
          <w:highlight w:val="none"/>
          <w:lang w:val="en-US" w:eastAsia="zh-CN"/>
        </w:rPr>
        <w:t>。</w:t>
      </w:r>
      <w:r>
        <w:rPr>
          <w:rFonts w:hint="eastAsia"/>
          <w:color w:val="auto"/>
          <w:spacing w:val="0"/>
          <w:sz w:val="30"/>
          <w:szCs w:val="30"/>
          <w:highlight w:val="none"/>
        </w:rPr>
        <w:t>立足崇明世界级生态岛战略定位，以数字技术为纽带，统筹横沙生态监测、长兴智能制造、本岛全域治理等三岛差异化资源禀赋与发展需求，推动生态保护、经济发展与社会治理深度协同。通过优化全域数字设施布局，整合5G、物联网、边缘计算等资源，构建城乡全覆盖的云网端数一体化基座，提升三岛数据互通与算力调度效能；依托一网统管平台</w:t>
      </w:r>
      <w:r>
        <w:rPr>
          <w:rFonts w:hint="eastAsia"/>
          <w:color w:val="auto"/>
          <w:spacing w:val="0"/>
          <w:sz w:val="30"/>
          <w:szCs w:val="30"/>
          <w:highlight w:val="none"/>
          <w:lang w:val="en-US" w:eastAsia="zh-CN"/>
        </w:rPr>
        <w:t>推动</w:t>
      </w:r>
      <w:r>
        <w:rPr>
          <w:rFonts w:hint="eastAsia"/>
          <w:color w:val="auto"/>
          <w:spacing w:val="0"/>
          <w:sz w:val="30"/>
          <w:szCs w:val="30"/>
          <w:highlight w:val="none"/>
        </w:rPr>
        <w:t>生态监测、社会治理、指挥调度等</w:t>
      </w:r>
      <w:r>
        <w:rPr>
          <w:rFonts w:hint="eastAsia"/>
          <w:color w:val="auto"/>
          <w:spacing w:val="0"/>
          <w:sz w:val="30"/>
          <w:szCs w:val="30"/>
          <w:highlight w:val="none"/>
          <w:lang w:val="en-US" w:eastAsia="zh-CN"/>
        </w:rPr>
        <w:t>场景应用</w:t>
      </w:r>
      <w:r>
        <w:rPr>
          <w:rFonts w:hint="eastAsia"/>
          <w:color w:val="auto"/>
          <w:spacing w:val="0"/>
          <w:sz w:val="30"/>
          <w:szCs w:val="30"/>
          <w:highlight w:val="none"/>
        </w:rPr>
        <w:t>，</w:t>
      </w:r>
      <w:r>
        <w:rPr>
          <w:rFonts w:hint="eastAsia"/>
          <w:color w:val="auto"/>
          <w:spacing w:val="0"/>
          <w:sz w:val="30"/>
          <w:szCs w:val="30"/>
          <w:highlight w:val="none"/>
          <w:lang w:val="en-US" w:eastAsia="zh-CN"/>
        </w:rPr>
        <w:t>探索</w:t>
      </w:r>
      <w:r>
        <w:rPr>
          <w:rFonts w:hint="eastAsia"/>
          <w:color w:val="auto"/>
          <w:spacing w:val="0"/>
          <w:sz w:val="30"/>
          <w:szCs w:val="30"/>
          <w:highlight w:val="none"/>
        </w:rPr>
        <w:t>建立</w:t>
      </w:r>
      <w:r>
        <w:rPr>
          <w:rFonts w:hint="eastAsia"/>
          <w:color w:val="auto"/>
          <w:spacing w:val="0"/>
          <w:sz w:val="30"/>
          <w:szCs w:val="30"/>
          <w:highlight w:val="none"/>
          <w:lang w:val="en-US" w:eastAsia="zh-CN"/>
        </w:rPr>
        <w:t>水土林气</w:t>
      </w:r>
      <w:r>
        <w:rPr>
          <w:rFonts w:hint="eastAsia"/>
          <w:color w:val="auto"/>
          <w:spacing w:val="0"/>
          <w:sz w:val="30"/>
          <w:szCs w:val="30"/>
          <w:highlight w:val="none"/>
        </w:rPr>
        <w:t>智联感知系统，深化业务流程再造；串联生态资源管理、绿色产业升级与可持续发展路径，借助智慧农业、生态碳汇等场景数据赋能，实现生态资产数字化开发与产业绿色转型良性循环，构建全域联动的生态数字</w:t>
      </w:r>
      <w:r>
        <w:rPr>
          <w:rFonts w:hint="eastAsia"/>
          <w:color w:val="auto"/>
          <w:spacing w:val="0"/>
          <w:sz w:val="30"/>
          <w:szCs w:val="30"/>
          <w:highlight w:val="none"/>
          <w:lang w:eastAsia="zh-CN"/>
        </w:rPr>
        <w:t>体系</w:t>
      </w:r>
      <w:r>
        <w:rPr>
          <w:rFonts w:hint="eastAsia"/>
          <w:color w:val="auto"/>
          <w:spacing w:val="0"/>
          <w:sz w:val="30"/>
          <w:szCs w:val="30"/>
          <w:highlight w:val="none"/>
        </w:rPr>
        <w:t>。</w:t>
      </w:r>
    </w:p>
    <w:p w14:paraId="5B64058B">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color w:val="auto"/>
          <w:spacing w:val="0"/>
          <w:sz w:val="30"/>
          <w:szCs w:val="30"/>
          <w:highlight w:val="none"/>
        </w:rPr>
      </w:pPr>
      <w:bookmarkStart w:id="144" w:name="_Toc26082"/>
      <w:bookmarkStart w:id="145" w:name="_Toc17365"/>
      <w:bookmarkStart w:id="146" w:name="_Toc32537"/>
      <w:bookmarkStart w:id="147" w:name="_Toc3188"/>
      <w:bookmarkStart w:id="148" w:name="_Toc14373"/>
      <w:r>
        <w:rPr>
          <w:rFonts w:hint="eastAsia" w:ascii="楷体_GB2312" w:hAnsi="楷体_GB2312" w:eastAsia="楷体_GB2312" w:cs="楷体_GB2312"/>
          <w:b/>
          <w:bCs/>
          <w:spacing w:val="0"/>
          <w:sz w:val="30"/>
          <w:szCs w:val="30"/>
          <w:highlight w:val="none"/>
          <w:lang w:val="en-US" w:eastAsia="zh-CN"/>
        </w:rPr>
        <w:t>坚持创新融合</w:t>
      </w:r>
      <w:bookmarkEnd w:id="144"/>
      <w:bookmarkEnd w:id="145"/>
      <w:bookmarkEnd w:id="146"/>
      <w:bookmarkEnd w:id="147"/>
      <w:bookmarkEnd w:id="148"/>
      <w:r>
        <w:rPr>
          <w:rFonts w:hint="eastAsia" w:ascii="楷体_GB2312" w:hAnsi="楷体_GB2312" w:eastAsia="楷体_GB2312" w:cs="楷体_GB2312"/>
          <w:b/>
          <w:bCs/>
          <w:spacing w:val="0"/>
          <w:sz w:val="30"/>
          <w:szCs w:val="30"/>
          <w:highlight w:val="none"/>
          <w:lang w:val="en-US" w:eastAsia="zh-CN"/>
        </w:rPr>
        <w:t>。</w:t>
      </w:r>
      <w:r>
        <w:rPr>
          <w:rFonts w:hint="eastAsia"/>
          <w:color w:val="auto"/>
          <w:spacing w:val="0"/>
          <w:sz w:val="30"/>
          <w:szCs w:val="30"/>
          <w:highlight w:val="none"/>
        </w:rPr>
        <w:t>以科技创新为引领，强化数字技术与生态保护、产业发展、民生服务等领域的深度融合。聚焦人工智能、大数据、区块链、物联网、量子计算等前沿技术，开展针对性研究和应用试点，推动技术创新与场景应用的双向赋能。加强顶层设计，统筹规划数字基础设施和数字化场景建设，打造</w:t>
      </w:r>
      <w:r>
        <w:rPr>
          <w:rFonts w:hint="eastAsia"/>
          <w:color w:val="auto"/>
          <w:highlight w:val="none"/>
          <w:lang w:val="en-US" w:eastAsia="zh-CN"/>
        </w:rPr>
        <w:t>长三角数字生态创新高地</w:t>
      </w:r>
      <w:r>
        <w:rPr>
          <w:rFonts w:hint="eastAsia"/>
          <w:color w:val="auto"/>
          <w:spacing w:val="0"/>
          <w:sz w:val="30"/>
          <w:szCs w:val="30"/>
          <w:highlight w:val="none"/>
        </w:rPr>
        <w:t>。通过创新驱动，培育新产业、新业态、新模式，提升崇明在数字经济和生态治理领域的竞争力，实现从“跟跑”到“领跑”的跨越。</w:t>
      </w:r>
    </w:p>
    <w:p w14:paraId="48DB2039">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color w:val="auto"/>
          <w:spacing w:val="0"/>
          <w:sz w:val="30"/>
          <w:szCs w:val="30"/>
          <w:highlight w:val="none"/>
        </w:rPr>
      </w:pPr>
      <w:bookmarkStart w:id="149" w:name="_Toc15531"/>
      <w:bookmarkStart w:id="150" w:name="_Toc6695"/>
      <w:bookmarkStart w:id="151" w:name="_Toc9312"/>
      <w:bookmarkStart w:id="152" w:name="_Toc6001"/>
      <w:bookmarkStart w:id="153" w:name="_Toc18846"/>
      <w:r>
        <w:rPr>
          <w:rFonts w:hint="eastAsia" w:ascii="楷体_GB2312" w:hAnsi="楷体_GB2312" w:eastAsia="楷体_GB2312" w:cs="楷体_GB2312"/>
          <w:b/>
          <w:bCs/>
          <w:spacing w:val="0"/>
          <w:sz w:val="30"/>
          <w:szCs w:val="30"/>
          <w:highlight w:val="none"/>
          <w:lang w:val="en-US" w:eastAsia="zh-CN"/>
        </w:rPr>
        <w:t>坚持引领示范</w:t>
      </w:r>
      <w:bookmarkEnd w:id="149"/>
      <w:bookmarkEnd w:id="150"/>
      <w:bookmarkEnd w:id="151"/>
      <w:bookmarkEnd w:id="152"/>
      <w:bookmarkEnd w:id="153"/>
      <w:r>
        <w:rPr>
          <w:rFonts w:hint="eastAsia" w:ascii="楷体_GB2312" w:hAnsi="楷体_GB2312" w:eastAsia="楷体_GB2312" w:cs="楷体_GB2312"/>
          <w:b/>
          <w:bCs/>
          <w:spacing w:val="0"/>
          <w:sz w:val="30"/>
          <w:szCs w:val="30"/>
          <w:highlight w:val="none"/>
          <w:lang w:val="en-US" w:eastAsia="zh-CN"/>
        </w:rPr>
        <w:t>。</w:t>
      </w:r>
      <w:r>
        <w:rPr>
          <w:rFonts w:hint="eastAsia"/>
          <w:color w:val="auto"/>
          <w:spacing w:val="0"/>
          <w:sz w:val="30"/>
          <w:szCs w:val="30"/>
          <w:highlight w:val="none"/>
        </w:rPr>
        <w:t>以“生态优先、数字赋能”为导向，树立生态数字化发展的标杆。积极参与生态</w:t>
      </w:r>
      <w:r>
        <w:rPr>
          <w:rFonts w:hint="eastAsia"/>
          <w:color w:val="auto"/>
          <w:spacing w:val="0"/>
          <w:sz w:val="30"/>
          <w:szCs w:val="30"/>
          <w:highlight w:val="none"/>
          <w:lang w:val="en-US" w:eastAsia="zh-CN"/>
        </w:rPr>
        <w:t>领域数据</w:t>
      </w:r>
      <w:r>
        <w:rPr>
          <w:rFonts w:hint="eastAsia"/>
          <w:color w:val="auto"/>
          <w:spacing w:val="0"/>
          <w:sz w:val="30"/>
          <w:szCs w:val="30"/>
          <w:highlight w:val="none"/>
        </w:rPr>
        <w:t>标准的制定，提升崇明在</w:t>
      </w:r>
      <w:r>
        <w:rPr>
          <w:rFonts w:hint="eastAsia"/>
          <w:color w:val="auto"/>
          <w:spacing w:val="0"/>
          <w:sz w:val="30"/>
          <w:szCs w:val="30"/>
          <w:highlight w:val="none"/>
          <w:lang w:val="en-US" w:eastAsia="zh-CN"/>
        </w:rPr>
        <w:t>数据赋能</w:t>
      </w:r>
      <w:r>
        <w:rPr>
          <w:rFonts w:hint="eastAsia"/>
          <w:color w:val="auto"/>
          <w:spacing w:val="0"/>
          <w:sz w:val="30"/>
          <w:szCs w:val="30"/>
          <w:highlight w:val="none"/>
        </w:rPr>
        <w:t>生态治理的话语权。聚焦“+生态”“生态+”战略，打造一批具有前瞻性、可复制、可推广的数字化示范项目。通过示范引领，带动区域一体化发展，促进绿色技术和数字成果的广泛应用，为</w:t>
      </w:r>
      <w:r>
        <w:rPr>
          <w:rFonts w:hint="eastAsia"/>
          <w:color w:val="auto"/>
          <w:spacing w:val="0"/>
          <w:sz w:val="30"/>
          <w:szCs w:val="30"/>
          <w:highlight w:val="none"/>
          <w:lang w:val="en-US" w:eastAsia="zh-CN"/>
        </w:rPr>
        <w:t>世界级</w:t>
      </w:r>
      <w:r>
        <w:rPr>
          <w:rFonts w:hint="eastAsia"/>
          <w:color w:val="auto"/>
          <w:spacing w:val="0"/>
          <w:sz w:val="30"/>
          <w:szCs w:val="30"/>
          <w:highlight w:val="none"/>
        </w:rPr>
        <w:t>生态岛建设提供崇明数字化转型方案。</w:t>
      </w:r>
    </w:p>
    <w:p w14:paraId="7971A11C">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pacing w:val="0"/>
          <w:sz w:val="30"/>
          <w:szCs w:val="30"/>
          <w:highlight w:val="none"/>
        </w:rPr>
      </w:pPr>
      <w:bookmarkStart w:id="154" w:name="_Toc21927"/>
      <w:bookmarkStart w:id="155" w:name="_Toc23776"/>
      <w:bookmarkStart w:id="156" w:name="_Toc14461"/>
      <w:bookmarkStart w:id="157" w:name="_Toc12358"/>
      <w:bookmarkStart w:id="158" w:name="_Toc31673"/>
      <w:r>
        <w:rPr>
          <w:rFonts w:hint="eastAsia" w:ascii="楷体_GB2312" w:hAnsi="楷体_GB2312" w:eastAsia="楷体_GB2312" w:cs="楷体_GB2312"/>
          <w:b/>
          <w:bCs/>
          <w:spacing w:val="0"/>
          <w:sz w:val="30"/>
          <w:szCs w:val="30"/>
          <w:highlight w:val="none"/>
          <w:lang w:val="en-US" w:eastAsia="zh-CN"/>
        </w:rPr>
        <w:t>坚持多元参与</w:t>
      </w:r>
      <w:bookmarkEnd w:id="154"/>
      <w:bookmarkEnd w:id="155"/>
      <w:bookmarkEnd w:id="156"/>
      <w:bookmarkEnd w:id="157"/>
      <w:bookmarkEnd w:id="158"/>
      <w:r>
        <w:rPr>
          <w:rFonts w:hint="eastAsia" w:ascii="楷体_GB2312" w:hAnsi="楷体_GB2312" w:eastAsia="楷体_GB2312" w:cs="楷体_GB2312"/>
          <w:b/>
          <w:bCs/>
          <w:spacing w:val="0"/>
          <w:sz w:val="30"/>
          <w:szCs w:val="30"/>
          <w:highlight w:val="none"/>
          <w:lang w:val="en-US" w:eastAsia="zh-CN"/>
        </w:rPr>
        <w:t>。</w:t>
      </w:r>
      <w:r>
        <w:rPr>
          <w:rFonts w:hint="eastAsia"/>
          <w:color w:val="auto"/>
          <w:spacing w:val="0"/>
          <w:sz w:val="30"/>
          <w:szCs w:val="30"/>
          <w:highlight w:val="none"/>
        </w:rPr>
        <w:t>构建“政府引导、市场主导、社会协同、公众参与”的多元化数字生态建设格局。强化政府在政策制定、标准规范、安全监管等方面的引导作用，营造良好的数字发展环境。充分发挥市场在资源配置中的决定性作用，激发企业的创新活力和投资积极性，推动数字技术的产业化应用。鼓励社会组织、科研机构、高校等参与数字生态建设，加强产学研用协同创新。同时，</w:t>
      </w:r>
      <w:r>
        <w:rPr>
          <w:rFonts w:hint="eastAsia"/>
          <w:color w:val="auto"/>
          <w:spacing w:val="0"/>
          <w:sz w:val="30"/>
          <w:szCs w:val="30"/>
          <w:highlight w:val="none"/>
          <w:lang w:eastAsia="zh-CN"/>
        </w:rPr>
        <w:t>增强</w:t>
      </w:r>
      <w:r>
        <w:rPr>
          <w:rFonts w:hint="eastAsia"/>
          <w:color w:val="auto"/>
          <w:spacing w:val="0"/>
          <w:sz w:val="30"/>
          <w:szCs w:val="30"/>
          <w:highlight w:val="none"/>
        </w:rPr>
        <w:t>公众的数字素养和参与意识，建立健全公众参与机制，鼓励居民通过各种方式参与数字崇明建设，共享数字化发展成果，形成共建共享的良好氛围。</w:t>
      </w:r>
    </w:p>
    <w:p w14:paraId="0FA0B21B">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pacing w:val="0"/>
          <w:sz w:val="32"/>
          <w:szCs w:val="32"/>
          <w:highlight w:val="none"/>
        </w:rPr>
      </w:pPr>
      <w:bookmarkStart w:id="159" w:name="_Toc20862"/>
      <w:bookmarkStart w:id="160" w:name="_Toc25347"/>
      <w:bookmarkStart w:id="161" w:name="_Toc13874"/>
      <w:bookmarkStart w:id="162" w:name="_Toc29220"/>
      <w:r>
        <w:rPr>
          <w:rFonts w:hint="eastAsia" w:ascii="楷体_GB2312" w:hAnsi="楷体_GB2312" w:eastAsia="楷体_GB2312" w:cs="楷体_GB2312"/>
          <w:b/>
          <w:bCs/>
          <w:spacing w:val="0"/>
          <w:sz w:val="30"/>
          <w:szCs w:val="30"/>
          <w:highlight w:val="none"/>
          <w:lang w:val="en-US" w:eastAsia="zh-CN"/>
        </w:rPr>
        <w:t>坚持安全可靠</w:t>
      </w:r>
      <w:bookmarkEnd w:id="159"/>
      <w:bookmarkEnd w:id="160"/>
      <w:bookmarkEnd w:id="161"/>
      <w:bookmarkEnd w:id="162"/>
      <w:r>
        <w:rPr>
          <w:rFonts w:hint="eastAsia" w:ascii="楷体_GB2312" w:hAnsi="楷体_GB2312" w:eastAsia="楷体_GB2312" w:cs="楷体_GB2312"/>
          <w:b/>
          <w:bCs/>
          <w:spacing w:val="0"/>
          <w:sz w:val="30"/>
          <w:szCs w:val="30"/>
          <w:highlight w:val="none"/>
          <w:lang w:val="en-US" w:eastAsia="zh-CN"/>
        </w:rPr>
        <w:t>。</w:t>
      </w:r>
      <w:r>
        <w:rPr>
          <w:rFonts w:hint="eastAsia"/>
          <w:color w:val="auto"/>
          <w:spacing w:val="0"/>
          <w:sz w:val="32"/>
          <w:szCs w:val="32"/>
          <w:highlight w:val="none"/>
        </w:rPr>
        <w:t>以</w:t>
      </w:r>
      <w:r>
        <w:rPr>
          <w:rFonts w:hint="eastAsia"/>
          <w:color w:val="auto"/>
          <w:spacing w:val="0"/>
          <w:sz w:val="32"/>
          <w:szCs w:val="32"/>
          <w:highlight w:val="none"/>
          <w:lang w:eastAsia="zh-CN"/>
        </w:rPr>
        <w:t>统筹发展和安全</w:t>
      </w:r>
      <w:r>
        <w:rPr>
          <w:rFonts w:hint="eastAsia"/>
          <w:color w:val="auto"/>
          <w:spacing w:val="0"/>
          <w:sz w:val="32"/>
          <w:szCs w:val="32"/>
          <w:highlight w:val="none"/>
        </w:rPr>
        <w:t>为底线，构建全域协同的数字安全防护体系，筑牢世界级生态岛数字屏障。建立覆盖</w:t>
      </w:r>
      <w:r>
        <w:rPr>
          <w:rFonts w:hint="eastAsia"/>
          <w:color w:val="auto"/>
          <w:spacing w:val="0"/>
          <w:sz w:val="32"/>
          <w:szCs w:val="32"/>
          <w:highlight w:val="none"/>
          <w:lang w:eastAsia="zh-CN"/>
        </w:rPr>
        <w:t>“</w:t>
      </w:r>
      <w:r>
        <w:rPr>
          <w:rFonts w:hint="eastAsia"/>
          <w:color w:val="auto"/>
          <w:spacing w:val="0"/>
          <w:sz w:val="32"/>
          <w:szCs w:val="32"/>
          <w:highlight w:val="none"/>
        </w:rPr>
        <w:t>云、网、端、数</w:t>
      </w:r>
      <w:r>
        <w:rPr>
          <w:rFonts w:hint="eastAsia"/>
          <w:color w:val="auto"/>
          <w:spacing w:val="0"/>
          <w:sz w:val="32"/>
          <w:szCs w:val="32"/>
          <w:highlight w:val="none"/>
          <w:lang w:eastAsia="zh-CN"/>
        </w:rPr>
        <w:t>”</w:t>
      </w:r>
      <w:r>
        <w:rPr>
          <w:rFonts w:hint="eastAsia"/>
          <w:color w:val="auto"/>
          <w:spacing w:val="0"/>
          <w:sz w:val="32"/>
          <w:szCs w:val="32"/>
          <w:highlight w:val="none"/>
        </w:rPr>
        <w:t>的一体化防护体系，重点保障数据中心、政务云等关键</w:t>
      </w:r>
      <w:r>
        <w:rPr>
          <w:rFonts w:hint="eastAsia"/>
          <w:color w:val="auto"/>
          <w:spacing w:val="0"/>
          <w:sz w:val="32"/>
          <w:szCs w:val="32"/>
          <w:highlight w:val="none"/>
          <w:lang w:val="en-US" w:eastAsia="zh-CN"/>
        </w:rPr>
        <w:t>基础</w:t>
      </w:r>
      <w:r>
        <w:rPr>
          <w:rFonts w:hint="eastAsia"/>
          <w:color w:val="auto"/>
          <w:spacing w:val="0"/>
          <w:sz w:val="32"/>
          <w:szCs w:val="32"/>
          <w:highlight w:val="none"/>
        </w:rPr>
        <w:t>设施；严格实施数据三级分类分级管控，对生态碳汇、农产品溯源等敏感数据加密脱敏。强化新型基础设施</w:t>
      </w:r>
      <w:r>
        <w:rPr>
          <w:rFonts w:hint="eastAsia"/>
          <w:color w:val="auto"/>
          <w:spacing w:val="0"/>
          <w:sz w:val="32"/>
          <w:szCs w:val="32"/>
          <w:highlight w:val="none"/>
          <w:lang w:eastAsia="zh-CN"/>
        </w:rPr>
        <w:t>“</w:t>
      </w:r>
      <w:r>
        <w:rPr>
          <w:rFonts w:hint="eastAsia"/>
          <w:color w:val="auto"/>
          <w:spacing w:val="0"/>
          <w:sz w:val="32"/>
          <w:szCs w:val="32"/>
          <w:highlight w:val="none"/>
        </w:rPr>
        <w:t>双活灾备</w:t>
      </w:r>
      <w:r>
        <w:rPr>
          <w:rFonts w:hint="eastAsia"/>
          <w:color w:val="auto"/>
          <w:spacing w:val="0"/>
          <w:sz w:val="32"/>
          <w:szCs w:val="32"/>
          <w:highlight w:val="none"/>
          <w:lang w:eastAsia="zh-CN"/>
        </w:rPr>
        <w:t>”</w:t>
      </w:r>
      <w:r>
        <w:rPr>
          <w:rFonts w:hint="eastAsia"/>
          <w:color w:val="auto"/>
          <w:spacing w:val="0"/>
          <w:sz w:val="32"/>
          <w:szCs w:val="32"/>
          <w:highlight w:val="none"/>
        </w:rPr>
        <w:t>架构，提升极端场景应急能力。依托“一网统管”打通三级城运运行体系架构，搭建“一网统管”安全体系，构建“技术+制度+管理”三位一体的安全架构。</w:t>
      </w:r>
    </w:p>
    <w:p w14:paraId="216AD7A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jc w:val="both"/>
        <w:textAlignment w:val="auto"/>
        <w:rPr>
          <w:b w:val="0"/>
          <w:color w:val="auto"/>
          <w:spacing w:val="0"/>
          <w:sz w:val="32"/>
          <w:szCs w:val="32"/>
          <w:highlight w:val="none"/>
        </w:rPr>
      </w:pPr>
      <w:bookmarkStart w:id="163" w:name="_Toc20746"/>
      <w:bookmarkStart w:id="164" w:name="_Toc22143"/>
      <w:bookmarkStart w:id="165" w:name="_Toc29948"/>
      <w:bookmarkStart w:id="166" w:name="_Toc6724"/>
      <w:bookmarkStart w:id="167" w:name="_Toc3722"/>
      <w:bookmarkStart w:id="168" w:name="_Toc1293728135"/>
      <w:bookmarkStart w:id="169" w:name="_Toc22228"/>
      <w:bookmarkStart w:id="170" w:name="_Toc406761265"/>
      <w:bookmarkStart w:id="171" w:name="_Toc19099"/>
      <w:bookmarkStart w:id="172" w:name="_Toc205207097"/>
      <w:bookmarkStart w:id="173" w:name="_Toc23428"/>
      <w:bookmarkStart w:id="174" w:name="_Toc666024495"/>
      <w:bookmarkStart w:id="175" w:name="_Toc205363173"/>
      <w:bookmarkStart w:id="176" w:name="_Toc23706"/>
      <w:r>
        <w:rPr>
          <w:rFonts w:hint="eastAsia"/>
          <w:color w:val="auto"/>
          <w:spacing w:val="0"/>
          <w:sz w:val="32"/>
          <w:szCs w:val="32"/>
          <w:highlight w:val="none"/>
          <w:lang w:eastAsia="zh-CN"/>
        </w:rPr>
        <w:t>三、</w:t>
      </w:r>
      <w:r>
        <w:rPr>
          <w:color w:val="auto"/>
          <w:spacing w:val="0"/>
          <w:sz w:val="32"/>
          <w:szCs w:val="32"/>
          <w:highlight w:val="none"/>
        </w:rPr>
        <w:t>重要指标</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tbl>
      <w:tblPr>
        <w:tblStyle w:val="22"/>
        <w:tblW w:w="5000" w:type="pct"/>
        <w:tblInd w:w="0" w:type="dxa"/>
        <w:shd w:val="clear" w:color="auto" w:fill="auto"/>
        <w:tblLayout w:type="autofit"/>
        <w:tblCellMar>
          <w:top w:w="15" w:type="dxa"/>
          <w:left w:w="15" w:type="dxa"/>
          <w:bottom w:w="15" w:type="dxa"/>
          <w:right w:w="15" w:type="dxa"/>
        </w:tblCellMar>
      </w:tblPr>
      <w:tblGrid>
        <w:gridCol w:w="859"/>
        <w:gridCol w:w="1362"/>
        <w:gridCol w:w="4629"/>
        <w:gridCol w:w="1201"/>
        <w:gridCol w:w="1201"/>
      </w:tblGrid>
      <w:tr w14:paraId="64D9C52F">
        <w:tblPrEx>
          <w:shd w:val="clear" w:color="auto" w:fill="auto"/>
          <w:tblCellMar>
            <w:top w:w="15" w:type="dxa"/>
            <w:left w:w="15" w:type="dxa"/>
            <w:bottom w:w="15" w:type="dxa"/>
            <w:right w:w="15" w:type="dxa"/>
          </w:tblCellMar>
        </w:tblPrEx>
        <w:trPr>
          <w:trHeight w:val="681" w:hRule="exact"/>
          <w:tblHeader/>
        </w:trPr>
        <w:tc>
          <w:tcPr>
            <w:tcW w:w="464" w:type="pct"/>
            <w:tcBorders>
              <w:top w:val="single" w:color="auto" w:sz="4" w:space="0"/>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00AC2429">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ascii="Times New Roman" w:hAnsi="Times New Roman" w:eastAsia="黑体" w:cs="黑体"/>
                <w:color w:val="auto"/>
                <w:spacing w:val="0"/>
                <w:sz w:val="24"/>
                <w:szCs w:val="24"/>
                <w:highlight w:val="none"/>
              </w:rPr>
            </w:pPr>
            <w:bookmarkStart w:id="177" w:name="_Toc205207098"/>
            <w:bookmarkStart w:id="178" w:name="_Toc6401"/>
            <w:bookmarkStart w:id="179" w:name="_Toc5157"/>
            <w:bookmarkStart w:id="180" w:name="_Toc205363174"/>
            <w:bookmarkStart w:id="181" w:name="_Toc1678949136"/>
            <w:bookmarkStart w:id="182" w:name="_Toc10019"/>
            <w:bookmarkStart w:id="183" w:name="_Toc15962"/>
            <w:bookmarkStart w:id="184" w:name="_Toc2687"/>
            <w:bookmarkStart w:id="185" w:name="_Toc1250658738"/>
            <w:r>
              <w:rPr>
                <w:rFonts w:hint="eastAsia" w:ascii="Times New Roman" w:hAnsi="Times New Roman" w:eastAsia="黑体" w:cs="黑体"/>
                <w:color w:val="auto"/>
                <w:spacing w:val="0"/>
                <w:sz w:val="24"/>
                <w:szCs w:val="24"/>
                <w:highlight w:val="none"/>
              </w:rPr>
              <w:t>序号</w:t>
            </w:r>
          </w:p>
        </w:tc>
        <w:tc>
          <w:tcPr>
            <w:tcW w:w="736" w:type="pct"/>
            <w:tcBorders>
              <w:top w:val="single" w:color="auto" w:sz="4" w:space="0"/>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7F8FE102">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黑体" w:cs="黑体"/>
                <w:color w:val="auto"/>
                <w:spacing w:val="0"/>
                <w:sz w:val="24"/>
                <w:szCs w:val="24"/>
                <w:highlight w:val="none"/>
              </w:rPr>
            </w:pPr>
            <w:r>
              <w:rPr>
                <w:rFonts w:hint="eastAsia" w:ascii="Times New Roman" w:hAnsi="Times New Roman" w:eastAsia="黑体" w:cs="黑体"/>
                <w:color w:val="auto"/>
                <w:spacing w:val="0"/>
                <w:sz w:val="24"/>
                <w:szCs w:val="24"/>
                <w:highlight w:val="none"/>
              </w:rPr>
              <w:t>类别</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8842EB6">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黑体" w:cs="黑体"/>
                <w:color w:val="auto"/>
                <w:spacing w:val="0"/>
                <w:sz w:val="24"/>
                <w:szCs w:val="24"/>
                <w:highlight w:val="none"/>
              </w:rPr>
            </w:pPr>
            <w:r>
              <w:rPr>
                <w:rFonts w:hint="eastAsia" w:ascii="Times New Roman" w:hAnsi="Times New Roman" w:eastAsia="黑体" w:cs="黑体"/>
                <w:color w:val="auto"/>
                <w:spacing w:val="0"/>
                <w:sz w:val="24"/>
                <w:szCs w:val="24"/>
                <w:highlight w:val="none"/>
              </w:rPr>
              <w:t>指标</w:t>
            </w:r>
          </w:p>
        </w:tc>
        <w:tc>
          <w:tcPr>
            <w:tcW w:w="649" w:type="pct"/>
            <w:tcBorders>
              <w:top w:val="single" w:color="auto" w:sz="4" w:space="0"/>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40BF0385">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default" w:ascii="Times New Roman" w:hAnsi="Times New Roman" w:eastAsia="黑体" w:cs="黑体"/>
                <w:color w:val="auto"/>
                <w:spacing w:val="0"/>
                <w:sz w:val="24"/>
                <w:szCs w:val="24"/>
                <w:highlight w:val="none"/>
                <w:lang w:val="en-US" w:eastAsia="zh-CN"/>
              </w:rPr>
            </w:pPr>
            <w:r>
              <w:rPr>
                <w:rFonts w:hint="eastAsia" w:ascii="Times New Roman" w:hAnsi="Times New Roman" w:eastAsia="黑体" w:cs="黑体"/>
                <w:color w:val="auto"/>
                <w:spacing w:val="0"/>
                <w:sz w:val="24"/>
                <w:szCs w:val="24"/>
                <w:highlight w:val="none"/>
                <w:lang w:val="en-US" w:eastAsia="zh-CN"/>
              </w:rPr>
              <w:t>现有值</w:t>
            </w:r>
          </w:p>
        </w:tc>
        <w:tc>
          <w:tcPr>
            <w:tcW w:w="649" w:type="pct"/>
            <w:tcBorders>
              <w:top w:val="single" w:color="auto" w:sz="4" w:space="0"/>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40E08FEC">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黑体" w:cs="黑体"/>
                <w:color w:val="auto"/>
                <w:spacing w:val="0"/>
                <w:sz w:val="24"/>
                <w:szCs w:val="24"/>
                <w:highlight w:val="none"/>
              </w:rPr>
            </w:pPr>
            <w:r>
              <w:rPr>
                <w:rFonts w:hint="eastAsia" w:ascii="Times New Roman" w:hAnsi="Times New Roman" w:eastAsia="黑体" w:cs="黑体"/>
                <w:color w:val="auto"/>
                <w:spacing w:val="0"/>
                <w:sz w:val="24"/>
                <w:szCs w:val="24"/>
                <w:highlight w:val="none"/>
              </w:rPr>
              <w:t>目标值</w:t>
            </w:r>
          </w:p>
        </w:tc>
      </w:tr>
      <w:tr w14:paraId="440E72E3">
        <w:tblPrEx>
          <w:shd w:val="clear" w:color="auto" w:fill="auto"/>
          <w:tblCellMar>
            <w:top w:w="15" w:type="dxa"/>
            <w:left w:w="15" w:type="dxa"/>
            <w:bottom w:w="15" w:type="dxa"/>
            <w:right w:w="15" w:type="dxa"/>
          </w:tblCellMar>
        </w:tblPrEx>
        <w:trPr>
          <w:trHeight w:val="397" w:hRule="exact"/>
        </w:trPr>
        <w:tc>
          <w:tcPr>
            <w:tcW w:w="464" w:type="pct"/>
            <w:vMerge w:val="restart"/>
            <w:tcBorders>
              <w:top w:val="single" w:color="auto" w:sz="4" w:space="0"/>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6389653C">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1</w:t>
            </w:r>
          </w:p>
        </w:tc>
        <w:tc>
          <w:tcPr>
            <w:tcW w:w="736"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740D5FA">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default"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cs="方正仿宋_GB2312"/>
                <w:color w:val="auto"/>
                <w:spacing w:val="0"/>
                <w:sz w:val="21"/>
                <w:szCs w:val="21"/>
                <w:highlight w:val="none"/>
                <w:lang w:val="en-US" w:eastAsia="zh-CN"/>
              </w:rPr>
              <w:t>经济发展</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BB6406D">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eastAsia="仿宋_GB2312" w:cs="方正仿宋_GB2312"/>
                <w:color w:val="auto"/>
                <w:spacing w:val="0"/>
                <w:sz w:val="21"/>
                <w:szCs w:val="21"/>
                <w:highlight w:val="none"/>
              </w:rPr>
              <w:t>数字经济核心产业增加值</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BE62F7C">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cs="仿宋_GB2312"/>
                <w:color w:val="auto"/>
                <w:spacing w:val="0"/>
                <w:sz w:val="21"/>
                <w:szCs w:val="21"/>
                <w:highlight w:val="none"/>
                <w:lang w:val="en-US" w:eastAsia="zh-CN"/>
              </w:rPr>
              <w:t>7亿</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4F99169">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cs="仿宋_GB2312"/>
                <w:color w:val="auto"/>
                <w:spacing w:val="0"/>
                <w:sz w:val="21"/>
                <w:szCs w:val="21"/>
                <w:highlight w:val="none"/>
                <w:lang w:val="en-US" w:eastAsia="zh-CN"/>
              </w:rPr>
              <w:t>20</w:t>
            </w:r>
            <w:r>
              <w:rPr>
                <w:rFonts w:hint="eastAsia" w:ascii="仿宋_GB2312" w:hAnsi="仿宋_GB2312" w:cs="仿宋_GB2312"/>
                <w:color w:val="auto"/>
                <w:spacing w:val="0"/>
                <w:sz w:val="21"/>
                <w:szCs w:val="21"/>
                <w:highlight w:val="none"/>
                <w:lang w:val="en-US" w:eastAsia="zh-CN"/>
              </w:rPr>
              <w:t>亿</w:t>
            </w:r>
          </w:p>
        </w:tc>
      </w:tr>
      <w:tr w14:paraId="660B3BCA">
        <w:tblPrEx>
          <w:shd w:val="clear" w:color="auto" w:fill="auto"/>
          <w:tblCellMar>
            <w:top w:w="15" w:type="dxa"/>
            <w:left w:w="15" w:type="dxa"/>
            <w:bottom w:w="15" w:type="dxa"/>
            <w:right w:w="15" w:type="dxa"/>
          </w:tblCellMar>
        </w:tblPrEx>
        <w:trPr>
          <w:trHeight w:val="397" w:hRule="exact"/>
        </w:trPr>
        <w:tc>
          <w:tcPr>
            <w:tcW w:w="464" w:type="pct"/>
            <w:vMerge w:val="continue"/>
            <w:tcBorders>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2EFC42E4">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110AC8A">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4AA5E44A">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eastAsia="仿宋_GB2312" w:cs="方正仿宋_GB2312"/>
                <w:color w:val="auto"/>
                <w:spacing w:val="0"/>
                <w:sz w:val="21"/>
                <w:szCs w:val="21"/>
                <w:highlight w:val="none"/>
              </w:rPr>
              <w:t>具有</w:t>
            </w:r>
            <w:r>
              <w:rPr>
                <w:rFonts w:hint="eastAsia" w:ascii="Times New Roman" w:hAnsi="Times New Roman" w:cs="方正仿宋_GB2312"/>
                <w:color w:val="auto"/>
                <w:spacing w:val="0"/>
                <w:sz w:val="21"/>
                <w:szCs w:val="21"/>
                <w:highlight w:val="none"/>
                <w:lang w:val="en-US" w:eastAsia="zh-CN"/>
              </w:rPr>
              <w:t>区域</w:t>
            </w:r>
            <w:r>
              <w:rPr>
                <w:rFonts w:hint="eastAsia" w:ascii="Times New Roman" w:hAnsi="Times New Roman" w:eastAsia="仿宋_GB2312" w:cs="方正仿宋_GB2312"/>
                <w:color w:val="auto"/>
                <w:spacing w:val="0"/>
                <w:sz w:val="21"/>
                <w:szCs w:val="21"/>
                <w:highlight w:val="none"/>
              </w:rPr>
              <w:t>核心竞争力的本土数字化企业数量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00D51DF">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2</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D5D151D">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5</w:t>
            </w:r>
          </w:p>
        </w:tc>
      </w:tr>
      <w:tr w14:paraId="6C7C8189">
        <w:tblPrEx>
          <w:shd w:val="clear" w:color="auto" w:fill="auto"/>
          <w:tblCellMar>
            <w:top w:w="15" w:type="dxa"/>
            <w:left w:w="15" w:type="dxa"/>
            <w:bottom w:w="15" w:type="dxa"/>
            <w:right w:w="15" w:type="dxa"/>
          </w:tblCellMar>
        </w:tblPrEx>
        <w:trPr>
          <w:trHeight w:val="397" w:hRule="exact"/>
        </w:trPr>
        <w:tc>
          <w:tcPr>
            <w:tcW w:w="464" w:type="pct"/>
            <w:vMerge w:val="restart"/>
            <w:tcBorders>
              <w:top w:val="single" w:color="auto" w:sz="4" w:space="0"/>
              <w:left w:val="single" w:color="auto" w:sz="4" w:space="0"/>
              <w:right w:val="single" w:color="auto" w:sz="4" w:space="0"/>
            </w:tcBorders>
            <w:shd w:val="clear" w:color="auto" w:fill="auto"/>
            <w:noWrap w:val="0"/>
            <w:tcMar>
              <w:top w:w="144" w:type="dxa"/>
              <w:left w:w="216" w:type="dxa"/>
              <w:bottom w:w="144" w:type="dxa"/>
              <w:right w:w="216" w:type="dxa"/>
            </w:tcMar>
            <w:vAlign w:val="center"/>
          </w:tcPr>
          <w:p w14:paraId="37D9E576">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2</w:t>
            </w:r>
          </w:p>
        </w:tc>
        <w:tc>
          <w:tcPr>
            <w:tcW w:w="736"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38B8B04">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cs="方正仿宋_GB2312"/>
                <w:color w:val="auto"/>
                <w:spacing w:val="0"/>
                <w:sz w:val="21"/>
                <w:szCs w:val="21"/>
                <w:highlight w:val="none"/>
                <w:lang w:val="en-US" w:eastAsia="zh-CN"/>
              </w:rPr>
              <w:t>惠企惠民</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FCED5D2">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cs="方正仿宋_GB2312"/>
                <w:color w:val="auto"/>
                <w:spacing w:val="0"/>
                <w:sz w:val="21"/>
                <w:szCs w:val="21"/>
                <w:highlight w:val="none"/>
                <w:lang w:val="en-US" w:eastAsia="zh-CN"/>
              </w:rPr>
              <w:t>长三角“一网通办”服务事项数量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79FB612F">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default" w:ascii="仿宋_GB2312" w:hAnsi="仿宋_GB2312" w:eastAsia="仿宋_GB2312" w:cs="仿宋_GB2312"/>
                <w:color w:val="auto"/>
                <w:spacing w:val="0"/>
                <w:sz w:val="21"/>
                <w:szCs w:val="21"/>
                <w:highlight w:val="none"/>
                <w:lang w:val="en-US" w:eastAsia="zh-CN"/>
              </w:rPr>
            </w:pPr>
            <w:r>
              <w:rPr>
                <w:rFonts w:hint="eastAsia" w:cs="仿宋_GB2312"/>
                <w:color w:val="auto"/>
                <w:spacing w:val="0"/>
                <w:sz w:val="21"/>
                <w:szCs w:val="21"/>
                <w:highlight w:val="none"/>
                <w:lang w:val="en-US" w:eastAsia="zh-CN"/>
              </w:rPr>
              <w:t>53</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1DDAC07">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default"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10</w:t>
            </w:r>
            <w:r>
              <w:rPr>
                <w:rFonts w:hint="eastAsia" w:cs="仿宋_GB2312"/>
                <w:color w:val="auto"/>
                <w:spacing w:val="0"/>
                <w:sz w:val="21"/>
                <w:szCs w:val="21"/>
                <w:highlight w:val="none"/>
                <w:lang w:val="en-US" w:eastAsia="zh-CN"/>
              </w:rPr>
              <w:t>0</w:t>
            </w:r>
          </w:p>
        </w:tc>
      </w:tr>
      <w:tr w14:paraId="2B6F3818">
        <w:tblPrEx>
          <w:shd w:val="clear" w:color="auto" w:fill="auto"/>
          <w:tblCellMar>
            <w:top w:w="15" w:type="dxa"/>
            <w:left w:w="15" w:type="dxa"/>
            <w:bottom w:w="15" w:type="dxa"/>
            <w:right w:w="15" w:type="dxa"/>
          </w:tblCellMar>
        </w:tblPrEx>
        <w:trPr>
          <w:trHeight w:val="397" w:hRule="exact"/>
        </w:trPr>
        <w:tc>
          <w:tcPr>
            <w:tcW w:w="464" w:type="pct"/>
            <w:vMerge w:val="continue"/>
            <w:tcBorders>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EBA9A2D">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EC73F1A">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4F2434D">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cs="方正仿宋_GB2312"/>
                <w:color w:val="auto"/>
                <w:spacing w:val="0"/>
                <w:sz w:val="21"/>
                <w:szCs w:val="21"/>
                <w:highlight w:val="none"/>
                <w:lang w:val="en-US" w:eastAsia="zh-CN"/>
              </w:rPr>
              <w:t>中小企业数字化转型水平</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0749B46">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kern w:val="2"/>
                <w:sz w:val="21"/>
                <w:szCs w:val="21"/>
                <w:highlight w:val="none"/>
                <w:lang w:val="en-US" w:eastAsia="zh-CN" w:bidi="ar-SA"/>
              </w:rPr>
            </w:pPr>
            <w:r>
              <w:rPr>
                <w:rFonts w:hint="eastAsia" w:ascii="仿宋_GB2312" w:hAnsi="仿宋_GB2312" w:cs="仿宋_GB2312"/>
                <w:color w:val="auto"/>
                <w:spacing w:val="0"/>
                <w:sz w:val="21"/>
                <w:szCs w:val="21"/>
                <w:highlight w:val="none"/>
                <w:lang w:val="en-US" w:eastAsia="zh-CN"/>
              </w:rPr>
              <w:t>一般</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49079126">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kern w:val="2"/>
                <w:sz w:val="21"/>
                <w:szCs w:val="21"/>
                <w:highlight w:val="none"/>
                <w:lang w:val="en-US" w:eastAsia="zh-CN" w:bidi="ar-SA"/>
              </w:rPr>
            </w:pPr>
            <w:r>
              <w:rPr>
                <w:rFonts w:hint="eastAsia" w:ascii="仿宋_GB2312" w:hAnsi="仿宋_GB2312" w:cs="仿宋_GB2312"/>
                <w:color w:val="auto"/>
                <w:spacing w:val="0"/>
                <w:sz w:val="21"/>
                <w:szCs w:val="21"/>
                <w:highlight w:val="none"/>
                <w:lang w:val="en-US" w:eastAsia="zh-CN"/>
              </w:rPr>
              <w:t>较好</w:t>
            </w:r>
          </w:p>
        </w:tc>
      </w:tr>
      <w:tr w14:paraId="0824DE85">
        <w:tblPrEx>
          <w:shd w:val="clear" w:color="auto" w:fill="auto"/>
          <w:tblCellMar>
            <w:top w:w="15" w:type="dxa"/>
            <w:left w:w="15" w:type="dxa"/>
            <w:bottom w:w="15" w:type="dxa"/>
            <w:right w:w="15" w:type="dxa"/>
          </w:tblCellMar>
        </w:tblPrEx>
        <w:trPr>
          <w:trHeight w:val="397" w:hRule="exact"/>
        </w:trPr>
        <w:tc>
          <w:tcPr>
            <w:tcW w:w="464"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418DF7F3">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3</w:t>
            </w:r>
          </w:p>
        </w:tc>
        <w:tc>
          <w:tcPr>
            <w:tcW w:w="736"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4530688E">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eastAsia="仿宋_GB2312" w:cs="方正仿宋_GB2312"/>
                <w:color w:val="auto"/>
                <w:spacing w:val="0"/>
                <w:sz w:val="21"/>
                <w:szCs w:val="21"/>
                <w:highlight w:val="none"/>
              </w:rPr>
              <w:t>城市治理</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4CF55B3">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eastAsia="仿宋_GB2312" w:cs="方正仿宋_GB2312"/>
                <w:color w:val="auto"/>
                <w:spacing w:val="0"/>
                <w:sz w:val="21"/>
                <w:szCs w:val="21"/>
                <w:highlight w:val="none"/>
              </w:rPr>
              <w:t>“</w:t>
            </w:r>
            <w:r>
              <w:rPr>
                <w:rFonts w:hint="eastAsia" w:ascii="Times New Roman" w:hAnsi="Times New Roman" w:cs="方正仿宋_GB2312"/>
                <w:color w:val="auto"/>
                <w:spacing w:val="0"/>
                <w:sz w:val="21"/>
                <w:szCs w:val="21"/>
                <w:highlight w:val="none"/>
                <w:lang w:eastAsia="zh-CN"/>
              </w:rPr>
              <w:t>一网统管</w:t>
            </w:r>
            <w:r>
              <w:rPr>
                <w:rFonts w:hint="eastAsia" w:ascii="Times New Roman" w:hAnsi="Times New Roman" w:eastAsia="仿宋_GB2312" w:cs="方正仿宋_GB2312"/>
                <w:color w:val="auto"/>
                <w:spacing w:val="0"/>
                <w:sz w:val="21"/>
                <w:szCs w:val="21"/>
                <w:highlight w:val="none"/>
              </w:rPr>
              <w:t>”</w:t>
            </w:r>
            <w:r>
              <w:rPr>
                <w:rFonts w:hint="eastAsia" w:ascii="Times New Roman" w:hAnsi="Times New Roman" w:cs="方正仿宋_GB2312"/>
                <w:color w:val="auto"/>
                <w:spacing w:val="0"/>
                <w:sz w:val="21"/>
                <w:szCs w:val="21"/>
                <w:highlight w:val="none"/>
                <w:lang w:val="en-US" w:eastAsia="zh-CN"/>
              </w:rPr>
              <w:t>标杆场景数量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75EE3914">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2</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7FFBBC00">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5</w:t>
            </w:r>
          </w:p>
        </w:tc>
      </w:tr>
      <w:tr w14:paraId="2B608709">
        <w:tblPrEx>
          <w:shd w:val="clear" w:color="auto" w:fill="auto"/>
          <w:tblCellMar>
            <w:top w:w="15" w:type="dxa"/>
            <w:left w:w="15" w:type="dxa"/>
            <w:bottom w:w="15" w:type="dxa"/>
            <w:right w:w="15" w:type="dxa"/>
          </w:tblCellMar>
        </w:tblPrEx>
        <w:trPr>
          <w:trHeight w:val="397" w:hRule="exact"/>
        </w:trPr>
        <w:tc>
          <w:tcPr>
            <w:tcW w:w="464"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93B2BA5">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68A99A3">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9675FC1">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cs="方正仿宋_GB2312"/>
                <w:color w:val="auto"/>
                <w:spacing w:val="0"/>
                <w:sz w:val="21"/>
                <w:szCs w:val="21"/>
                <w:highlight w:val="none"/>
                <w:lang w:val="en-US" w:eastAsia="zh-CN"/>
              </w:rPr>
              <w:t>基层治理标杆场景数量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F484359">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2</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13BB122">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5</w:t>
            </w:r>
          </w:p>
        </w:tc>
      </w:tr>
      <w:tr w14:paraId="071BB9C5">
        <w:tblPrEx>
          <w:shd w:val="clear" w:color="auto" w:fill="auto"/>
          <w:tblCellMar>
            <w:top w:w="15" w:type="dxa"/>
            <w:left w:w="15" w:type="dxa"/>
            <w:bottom w:w="15" w:type="dxa"/>
            <w:right w:w="15" w:type="dxa"/>
          </w:tblCellMar>
        </w:tblPrEx>
        <w:trPr>
          <w:trHeight w:val="397" w:hRule="exact"/>
        </w:trPr>
        <w:tc>
          <w:tcPr>
            <w:tcW w:w="464"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0B9884B">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4</w:t>
            </w:r>
          </w:p>
        </w:tc>
        <w:tc>
          <w:tcPr>
            <w:tcW w:w="736"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2901234">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cs="方正仿宋_GB2312"/>
                <w:color w:val="auto"/>
                <w:spacing w:val="0"/>
                <w:sz w:val="21"/>
                <w:szCs w:val="21"/>
                <w:highlight w:val="none"/>
                <w:lang w:val="en-US" w:eastAsia="zh-CN"/>
              </w:rPr>
              <w:t>数字</w:t>
            </w:r>
            <w:r>
              <w:rPr>
                <w:rFonts w:hint="eastAsia" w:ascii="Times New Roman" w:hAnsi="Times New Roman" w:eastAsia="仿宋_GB2312" w:cs="方正仿宋_GB2312"/>
                <w:color w:val="auto"/>
                <w:spacing w:val="0"/>
                <w:sz w:val="21"/>
                <w:szCs w:val="21"/>
                <w:highlight w:val="none"/>
              </w:rPr>
              <w:t>基础</w:t>
            </w:r>
          </w:p>
          <w:p w14:paraId="436C61A1">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eastAsia="仿宋_GB2312" w:cs="方正仿宋_GB2312"/>
                <w:color w:val="auto"/>
                <w:spacing w:val="0"/>
                <w:sz w:val="21"/>
                <w:szCs w:val="21"/>
                <w:highlight w:val="none"/>
              </w:rPr>
              <w:t>设施</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3AD51E3">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cs="方正仿宋_GB2312"/>
                <w:color w:val="auto"/>
                <w:spacing w:val="0"/>
                <w:sz w:val="21"/>
                <w:szCs w:val="21"/>
                <w:highlight w:val="none"/>
                <w:lang w:val="en-US" w:eastAsia="zh-CN"/>
              </w:rPr>
              <w:t>全区算力规模</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15B8989D">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cs="仿宋_GB2312"/>
                <w:color w:val="auto"/>
                <w:spacing w:val="0"/>
                <w:sz w:val="21"/>
                <w:szCs w:val="21"/>
                <w:highlight w:val="none"/>
                <w:lang w:val="en-US" w:eastAsia="zh-CN"/>
              </w:rPr>
              <w:t>1</w:t>
            </w:r>
            <w:r>
              <w:rPr>
                <w:rFonts w:hint="eastAsia" w:ascii="仿宋_GB2312" w:hAnsi="仿宋_GB2312" w:cs="仿宋_GB2312"/>
                <w:color w:val="auto"/>
                <w:spacing w:val="0"/>
                <w:sz w:val="21"/>
                <w:szCs w:val="21"/>
                <w:highlight w:val="none"/>
                <w:lang w:val="en-US" w:eastAsia="zh-CN"/>
              </w:rPr>
              <w:t>00</w:t>
            </w:r>
            <w:r>
              <w:rPr>
                <w:rFonts w:hint="eastAsia" w:ascii="仿宋_GB2312" w:hAnsi="仿宋_GB2312" w:eastAsia="仿宋_GB2312" w:cs="仿宋_GB2312"/>
                <w:color w:val="auto"/>
                <w:spacing w:val="0"/>
                <w:sz w:val="21"/>
                <w:szCs w:val="21"/>
                <w:highlight w:val="none"/>
              </w:rPr>
              <w:t>P</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249C412">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rPr>
            </w:pPr>
            <w:r>
              <w:rPr>
                <w:rFonts w:hint="eastAsia" w:cs="仿宋_GB2312"/>
                <w:color w:val="auto"/>
                <w:spacing w:val="0"/>
                <w:sz w:val="21"/>
                <w:szCs w:val="21"/>
                <w:highlight w:val="none"/>
                <w:lang w:val="en-US" w:eastAsia="zh-CN"/>
              </w:rPr>
              <w:t>2</w:t>
            </w:r>
            <w:r>
              <w:rPr>
                <w:rFonts w:hint="eastAsia" w:ascii="仿宋_GB2312" w:hAnsi="仿宋_GB2312" w:eastAsia="仿宋_GB2312" w:cs="仿宋_GB2312"/>
                <w:color w:val="auto"/>
                <w:spacing w:val="0"/>
                <w:sz w:val="21"/>
                <w:szCs w:val="21"/>
                <w:highlight w:val="none"/>
              </w:rPr>
              <w:t>000P</w:t>
            </w:r>
          </w:p>
        </w:tc>
      </w:tr>
      <w:tr w14:paraId="798ED64D">
        <w:tblPrEx>
          <w:shd w:val="clear" w:color="auto" w:fill="auto"/>
          <w:tblCellMar>
            <w:top w:w="15" w:type="dxa"/>
            <w:left w:w="15" w:type="dxa"/>
            <w:bottom w:w="15" w:type="dxa"/>
            <w:right w:w="15" w:type="dxa"/>
          </w:tblCellMar>
        </w:tblPrEx>
        <w:trPr>
          <w:trHeight w:val="397" w:hRule="exact"/>
        </w:trPr>
        <w:tc>
          <w:tcPr>
            <w:tcW w:w="464"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2883662">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55A3742">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lang w:val="en-US" w:eastAsia="zh-CN"/>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23A5D78">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cs="方正仿宋_GB2312"/>
                <w:color w:val="auto"/>
                <w:spacing w:val="0"/>
                <w:sz w:val="21"/>
                <w:szCs w:val="21"/>
                <w:highlight w:val="none"/>
                <w:lang w:val="en-US" w:eastAsia="zh-CN"/>
              </w:rPr>
              <w:t>物联网终端数量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9827D65">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4</w:t>
            </w:r>
            <w:r>
              <w:rPr>
                <w:rFonts w:hint="eastAsia" w:cs="仿宋_GB2312"/>
                <w:color w:val="auto"/>
                <w:spacing w:val="0"/>
                <w:sz w:val="21"/>
                <w:szCs w:val="21"/>
                <w:highlight w:val="none"/>
                <w:lang w:val="en-US" w:eastAsia="zh-CN"/>
              </w:rPr>
              <w:t>万</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8F24D0F">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10万</w:t>
            </w:r>
          </w:p>
        </w:tc>
      </w:tr>
      <w:tr w14:paraId="5BB37D02">
        <w:tblPrEx>
          <w:shd w:val="clear" w:color="auto" w:fill="auto"/>
          <w:tblCellMar>
            <w:top w:w="15" w:type="dxa"/>
            <w:left w:w="15" w:type="dxa"/>
            <w:bottom w:w="15" w:type="dxa"/>
            <w:right w:w="15" w:type="dxa"/>
          </w:tblCellMar>
        </w:tblPrEx>
        <w:trPr>
          <w:trHeight w:val="776" w:hRule="exact"/>
        </w:trPr>
        <w:tc>
          <w:tcPr>
            <w:tcW w:w="464"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15E6E52">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02750A1">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899132D">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cs="方正仿宋_GB2312"/>
                <w:color w:val="auto"/>
                <w:spacing w:val="0"/>
                <w:sz w:val="21"/>
                <w:szCs w:val="21"/>
                <w:highlight w:val="none"/>
                <w:lang w:val="en-US" w:eastAsia="zh-CN"/>
              </w:rPr>
              <w:t>区块链上链规模</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05238EC">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1</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9D1C69E">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10</w:t>
            </w:r>
          </w:p>
        </w:tc>
      </w:tr>
      <w:tr w14:paraId="3A4BFF2B">
        <w:tblPrEx>
          <w:shd w:val="clear" w:color="auto" w:fill="auto"/>
          <w:tblCellMar>
            <w:top w:w="15" w:type="dxa"/>
            <w:left w:w="15" w:type="dxa"/>
            <w:bottom w:w="15" w:type="dxa"/>
            <w:right w:w="15" w:type="dxa"/>
          </w:tblCellMar>
        </w:tblPrEx>
        <w:trPr>
          <w:trHeight w:val="397" w:hRule="exact"/>
        </w:trPr>
        <w:tc>
          <w:tcPr>
            <w:tcW w:w="464"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480BDFB0">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5</w:t>
            </w:r>
          </w:p>
        </w:tc>
        <w:tc>
          <w:tcPr>
            <w:tcW w:w="736"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40524098">
            <w:pPr>
              <w:keepNext w:val="0"/>
              <w:keepLines w:val="0"/>
              <w:pageBreakBefore w:val="0"/>
              <w:widowControl w:val="0"/>
              <w:kinsoku/>
              <w:wordWrap/>
              <w:overflowPunct w:val="0"/>
              <w:topLinePunct/>
              <w:autoSpaceDE/>
              <w:autoSpaceDN/>
              <w:bidi w:val="0"/>
              <w:adjustRightInd w:val="0"/>
              <w:snapToGrid w:val="0"/>
              <w:spacing w:line="228" w:lineRule="auto"/>
              <w:jc w:val="center"/>
              <w:textAlignment w:val="auto"/>
              <w:rPr>
                <w:rFonts w:hint="default"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cs="方正仿宋_GB2312"/>
                <w:color w:val="auto"/>
                <w:spacing w:val="0"/>
                <w:sz w:val="21"/>
                <w:szCs w:val="21"/>
                <w:highlight w:val="none"/>
                <w:lang w:val="en-US" w:eastAsia="zh-CN"/>
              </w:rPr>
              <w:t>数据要素流动</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78290701">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eastAsia="仿宋_GB2312" w:cs="方正仿宋_GB2312"/>
                <w:color w:val="auto"/>
                <w:spacing w:val="0"/>
                <w:sz w:val="21"/>
                <w:szCs w:val="21"/>
                <w:highlight w:val="none"/>
              </w:rPr>
              <w:t>数字技术创新项目数量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78A21CF">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0</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001F8B5">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3</w:t>
            </w:r>
          </w:p>
        </w:tc>
      </w:tr>
      <w:tr w14:paraId="6B52836C">
        <w:tblPrEx>
          <w:shd w:val="clear" w:color="auto" w:fill="auto"/>
          <w:tblCellMar>
            <w:top w:w="15" w:type="dxa"/>
            <w:left w:w="15" w:type="dxa"/>
            <w:bottom w:w="15" w:type="dxa"/>
            <w:right w:w="15" w:type="dxa"/>
          </w:tblCellMar>
        </w:tblPrEx>
        <w:trPr>
          <w:trHeight w:val="397" w:hRule="exact"/>
        </w:trPr>
        <w:tc>
          <w:tcPr>
            <w:tcW w:w="464"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DD9BFA8">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70D6EA00">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AC7E9A4">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eastAsia" w:ascii="Times New Roman" w:hAnsi="Times New Roman" w:eastAsia="仿宋_GB2312" w:cs="方正仿宋_GB2312"/>
                <w:color w:val="auto"/>
                <w:spacing w:val="0"/>
                <w:sz w:val="21"/>
                <w:szCs w:val="21"/>
                <w:highlight w:val="none"/>
              </w:rPr>
            </w:pPr>
            <w:r>
              <w:rPr>
                <w:rFonts w:hint="eastAsia" w:ascii="Times New Roman" w:hAnsi="Times New Roman" w:eastAsia="仿宋_GB2312" w:cs="方正仿宋_GB2312"/>
                <w:color w:val="auto"/>
                <w:spacing w:val="0"/>
                <w:sz w:val="21"/>
                <w:szCs w:val="21"/>
                <w:highlight w:val="none"/>
              </w:rPr>
              <w:t>产学研合作数字项目数量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2A3871ED">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0</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066B51B">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3</w:t>
            </w:r>
          </w:p>
        </w:tc>
      </w:tr>
      <w:tr w14:paraId="3A88D842">
        <w:tblPrEx>
          <w:shd w:val="clear" w:color="auto" w:fill="auto"/>
          <w:tblCellMar>
            <w:top w:w="15" w:type="dxa"/>
            <w:left w:w="15" w:type="dxa"/>
            <w:bottom w:w="15" w:type="dxa"/>
            <w:right w:w="15" w:type="dxa"/>
          </w:tblCellMar>
        </w:tblPrEx>
        <w:trPr>
          <w:trHeight w:val="397" w:hRule="exact"/>
        </w:trPr>
        <w:tc>
          <w:tcPr>
            <w:tcW w:w="464"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D1012B5">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14750613">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2F43532">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default"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cs="方正仿宋_GB2312"/>
                <w:color w:val="auto"/>
                <w:spacing w:val="0"/>
                <w:sz w:val="21"/>
                <w:szCs w:val="21"/>
                <w:highlight w:val="none"/>
                <w:lang w:val="en-US" w:eastAsia="zh-CN"/>
              </w:rPr>
              <w:t>数商企业数量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1D9B4403">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cs="仿宋_GB2312"/>
                <w:color w:val="auto"/>
                <w:spacing w:val="0"/>
                <w:sz w:val="21"/>
                <w:szCs w:val="21"/>
                <w:highlight w:val="none"/>
                <w:lang w:val="en-US" w:eastAsia="zh-CN"/>
              </w:rPr>
              <w:t>6</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13FA9937">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default" w:ascii="仿宋_GB2312" w:hAnsi="仿宋_GB2312" w:eastAsia="仿宋_GB2312" w:cs="仿宋_GB2312"/>
                <w:color w:val="auto"/>
                <w:spacing w:val="0"/>
                <w:sz w:val="21"/>
                <w:szCs w:val="21"/>
                <w:highlight w:val="none"/>
                <w:lang w:val="en-US" w:eastAsia="zh-CN"/>
              </w:rPr>
            </w:pPr>
            <w:r>
              <w:rPr>
                <w:rFonts w:hint="eastAsia" w:cs="仿宋_GB2312"/>
                <w:color w:val="auto"/>
                <w:spacing w:val="0"/>
                <w:sz w:val="21"/>
                <w:szCs w:val="21"/>
                <w:highlight w:val="none"/>
                <w:lang w:val="en-US" w:eastAsia="zh-CN"/>
              </w:rPr>
              <w:t>20</w:t>
            </w:r>
          </w:p>
        </w:tc>
      </w:tr>
      <w:tr w14:paraId="5BB5798B">
        <w:tblPrEx>
          <w:shd w:val="clear" w:color="auto" w:fill="auto"/>
          <w:tblCellMar>
            <w:top w:w="15" w:type="dxa"/>
            <w:left w:w="15" w:type="dxa"/>
            <w:bottom w:w="15" w:type="dxa"/>
            <w:right w:w="15" w:type="dxa"/>
          </w:tblCellMar>
        </w:tblPrEx>
        <w:trPr>
          <w:trHeight w:val="397" w:hRule="exact"/>
        </w:trPr>
        <w:tc>
          <w:tcPr>
            <w:tcW w:w="464"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01AF224F">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仿宋_GB2312" w:hAnsi="仿宋_GB2312" w:eastAsia="仿宋_GB2312" w:cs="仿宋_GB2312"/>
                <w:color w:val="auto"/>
                <w:spacing w:val="0"/>
                <w:sz w:val="21"/>
                <w:szCs w:val="21"/>
                <w:highlight w:val="none"/>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36B470A">
            <w:pPr>
              <w:keepNext w:val="0"/>
              <w:keepLines w:val="0"/>
              <w:pageBreakBefore w:val="0"/>
              <w:widowControl w:val="0"/>
              <w:kinsoku/>
              <w:wordWrap/>
              <w:overflowPunct w:val="0"/>
              <w:topLinePunct/>
              <w:autoSpaceDE/>
              <w:autoSpaceDN/>
              <w:bidi w:val="0"/>
              <w:adjustRightInd w:val="0"/>
              <w:snapToGrid w:val="0"/>
              <w:spacing w:line="228" w:lineRule="auto"/>
              <w:ind w:firstLine="416" w:firstLineChars="202"/>
              <w:jc w:val="center"/>
              <w:textAlignment w:val="auto"/>
              <w:rPr>
                <w:rFonts w:hint="eastAsia" w:ascii="Times New Roman" w:hAnsi="Times New Roman" w:eastAsia="仿宋_GB2312" w:cs="方正仿宋_GB2312"/>
                <w:color w:val="auto"/>
                <w:spacing w:val="0"/>
                <w:sz w:val="21"/>
                <w:szCs w:val="21"/>
                <w:highlight w:val="none"/>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68D43A69">
            <w:pPr>
              <w:keepNext w:val="0"/>
              <w:keepLines w:val="0"/>
              <w:pageBreakBefore w:val="0"/>
              <w:widowControl w:val="0"/>
              <w:kinsoku/>
              <w:wordWrap/>
              <w:overflowPunct w:val="0"/>
              <w:topLinePunct/>
              <w:autoSpaceDE/>
              <w:autoSpaceDN/>
              <w:bidi w:val="0"/>
              <w:adjustRightInd w:val="0"/>
              <w:snapToGrid w:val="0"/>
              <w:spacing w:line="228" w:lineRule="auto"/>
              <w:jc w:val="both"/>
              <w:textAlignment w:val="auto"/>
              <w:rPr>
                <w:rFonts w:hint="default" w:ascii="Times New Roman" w:hAnsi="Times New Roman" w:eastAsia="仿宋_GB2312" w:cs="方正仿宋_GB2312"/>
                <w:color w:val="auto"/>
                <w:spacing w:val="0"/>
                <w:sz w:val="21"/>
                <w:szCs w:val="21"/>
                <w:highlight w:val="none"/>
                <w:lang w:val="en-US" w:eastAsia="zh-CN"/>
              </w:rPr>
            </w:pPr>
            <w:r>
              <w:rPr>
                <w:rFonts w:hint="eastAsia" w:ascii="Times New Roman" w:hAnsi="Times New Roman" w:cs="方正仿宋_GB2312"/>
                <w:color w:val="auto"/>
                <w:spacing w:val="0"/>
                <w:sz w:val="21"/>
                <w:szCs w:val="21"/>
                <w:highlight w:val="none"/>
                <w:lang w:val="en-US" w:eastAsia="zh-CN"/>
              </w:rPr>
              <w:t>数据授权运营场景数量</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37A3D193">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0</w:t>
            </w:r>
          </w:p>
        </w:tc>
        <w:tc>
          <w:tcPr>
            <w:tcW w:w="649" w:type="pct"/>
            <w:tcBorders>
              <w:top w:val="single" w:color="auto" w:sz="4" w:space="0"/>
              <w:left w:val="single" w:color="auto" w:sz="4" w:space="0"/>
              <w:bottom w:val="single" w:color="auto" w:sz="4" w:space="0"/>
              <w:right w:val="single" w:color="auto" w:sz="4" w:space="0"/>
            </w:tcBorders>
            <w:shd w:val="clear" w:color="auto" w:fill="auto"/>
            <w:noWrap w:val="0"/>
            <w:tcMar>
              <w:top w:w="144" w:type="dxa"/>
              <w:left w:w="216" w:type="dxa"/>
              <w:bottom w:w="144" w:type="dxa"/>
              <w:right w:w="216" w:type="dxa"/>
            </w:tcMar>
            <w:vAlign w:val="center"/>
          </w:tcPr>
          <w:p w14:paraId="5A07291D">
            <w:pPr>
              <w:keepNext w:val="0"/>
              <w:keepLines w:val="0"/>
              <w:pageBreakBefore w:val="0"/>
              <w:widowControl w:val="0"/>
              <w:kinsoku/>
              <w:wordWrap/>
              <w:overflowPunct w:val="0"/>
              <w:topLinePunct/>
              <w:autoSpaceDE/>
              <w:autoSpaceDN/>
              <w:bidi w:val="0"/>
              <w:adjustRightInd w:val="0"/>
              <w:snapToGrid w:val="0"/>
              <w:spacing w:line="228" w:lineRule="auto"/>
              <w:ind w:firstLine="0" w:firstLineChars="0"/>
              <w:jc w:val="center"/>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cs="仿宋_GB2312"/>
                <w:color w:val="auto"/>
                <w:spacing w:val="0"/>
                <w:sz w:val="21"/>
                <w:szCs w:val="21"/>
                <w:highlight w:val="none"/>
                <w:lang w:val="en-US" w:eastAsia="zh-CN"/>
              </w:rPr>
              <w:t>5</w:t>
            </w:r>
          </w:p>
        </w:tc>
      </w:tr>
    </w:tbl>
    <w:p w14:paraId="2149074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spacing w:val="0"/>
          <w:highlight w:val="none"/>
        </w:rPr>
      </w:pPr>
      <w:bookmarkStart w:id="186" w:name="_Toc20064"/>
      <w:bookmarkStart w:id="187" w:name="_Toc30779"/>
      <w:bookmarkStart w:id="188" w:name="_Toc31270"/>
      <w:bookmarkStart w:id="189" w:name="_Toc548762600"/>
      <w:bookmarkStart w:id="190" w:name="_Toc31993"/>
      <w:r>
        <w:rPr>
          <w:rFonts w:hint="eastAsia"/>
          <w:spacing w:val="0"/>
          <w:highlight w:val="none"/>
          <w:lang w:eastAsia="zh-CN"/>
        </w:rPr>
        <w:t>第三章、</w:t>
      </w:r>
      <w:r>
        <w:rPr>
          <w:spacing w:val="0"/>
          <w:highlight w:val="none"/>
        </w:rPr>
        <w:t>夯实</w:t>
      </w:r>
      <w:r>
        <w:rPr>
          <w:rFonts w:hint="eastAsia"/>
          <w:spacing w:val="0"/>
          <w:highlight w:val="none"/>
          <w:lang w:eastAsia="zh-CN"/>
        </w:rPr>
        <w:t>“</w:t>
      </w:r>
      <w:r>
        <w:rPr>
          <w:spacing w:val="0"/>
          <w:highlight w:val="none"/>
        </w:rPr>
        <w:t>两大支撑</w:t>
      </w:r>
      <w:r>
        <w:rPr>
          <w:rFonts w:hint="eastAsia"/>
          <w:spacing w:val="0"/>
          <w:highlight w:val="none"/>
          <w:lang w:eastAsia="zh-CN"/>
        </w:rPr>
        <w:t>”</w:t>
      </w:r>
      <w:r>
        <w:rPr>
          <w:spacing w:val="0"/>
          <w:highlight w:val="none"/>
        </w:rPr>
        <w:t>，打造数字发展核心基石</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2AA06F6">
      <w:pPr>
        <w:pStyle w:val="4"/>
        <w:keepNext w:val="0"/>
        <w:keepLines w:val="0"/>
        <w:pageBreakBefore w:val="0"/>
        <w:widowControl w:val="0"/>
        <w:numPr>
          <w:ilvl w:val="0"/>
          <w:numId w:val="0"/>
        </w:numPr>
        <w:kinsoku/>
        <w:wordWrap/>
        <w:overflowPunct/>
        <w:topLinePunct w:val="0"/>
        <w:autoSpaceDE/>
        <w:autoSpaceDN/>
        <w:bidi w:val="0"/>
        <w:snapToGrid/>
        <w:spacing w:line="360" w:lineRule="auto"/>
        <w:ind w:left="632" w:leftChars="0"/>
        <w:jc w:val="both"/>
        <w:textAlignment w:val="auto"/>
        <w:rPr>
          <w:b w:val="0"/>
          <w:color w:val="auto"/>
          <w:spacing w:val="0"/>
          <w:sz w:val="32"/>
          <w:szCs w:val="32"/>
          <w:highlight w:val="none"/>
        </w:rPr>
      </w:pPr>
      <w:bookmarkStart w:id="191" w:name="_Toc31855"/>
      <w:bookmarkStart w:id="192" w:name="_Toc32181"/>
      <w:bookmarkStart w:id="193" w:name="_Toc23739"/>
      <w:bookmarkStart w:id="194" w:name="_Toc205207099"/>
      <w:bookmarkStart w:id="195" w:name="_Toc10189"/>
      <w:bookmarkStart w:id="196" w:name="_Toc12753"/>
      <w:bookmarkStart w:id="197" w:name="_Toc4628"/>
      <w:bookmarkStart w:id="198" w:name="_Toc6990"/>
      <w:bookmarkStart w:id="199" w:name="_Toc4234"/>
      <w:bookmarkStart w:id="200" w:name="_Toc205363175"/>
      <w:bookmarkStart w:id="201" w:name="_Toc1808333854"/>
      <w:bookmarkStart w:id="202" w:name="_Toc10119"/>
      <w:bookmarkStart w:id="203" w:name="_Toc324893113"/>
      <w:bookmarkStart w:id="204" w:name="_Toc397550943"/>
      <w:r>
        <w:rPr>
          <w:rFonts w:hint="eastAsia"/>
          <w:color w:val="auto"/>
          <w:spacing w:val="0"/>
          <w:sz w:val="32"/>
          <w:szCs w:val="32"/>
          <w:highlight w:val="none"/>
          <w:lang w:eastAsia="zh-CN"/>
        </w:rPr>
        <w:t>一、</w:t>
      </w:r>
      <w:r>
        <w:rPr>
          <w:color w:val="auto"/>
          <w:spacing w:val="0"/>
          <w:sz w:val="32"/>
          <w:szCs w:val="32"/>
          <w:highlight w:val="none"/>
        </w:rPr>
        <w:t>构建泛在智能的数字基础设施体系</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EC656F4">
      <w:pPr>
        <w:pStyle w:val="14"/>
        <w:bidi w:val="0"/>
        <w:rPr>
          <w:color w:val="auto"/>
          <w:spacing w:val="0"/>
          <w:sz w:val="30"/>
          <w:szCs w:val="30"/>
          <w:highlight w:val="none"/>
        </w:rPr>
      </w:pPr>
      <w:bookmarkStart w:id="205" w:name="_Toc205207100"/>
      <w:bookmarkStart w:id="206" w:name="_Toc27773"/>
      <w:bookmarkStart w:id="207" w:name="_Toc1639"/>
      <w:bookmarkStart w:id="208" w:name="_Toc20648"/>
      <w:bookmarkStart w:id="209" w:name="_Toc15160"/>
      <w:bookmarkStart w:id="210" w:name="_Toc22487"/>
      <w:bookmarkStart w:id="211" w:name="_Toc205363176"/>
      <w:r>
        <w:rPr>
          <w:rFonts w:hint="eastAsia" w:ascii="楷体_GB2312" w:hAnsi="楷体_GB2312" w:eastAsia="楷体_GB2312" w:cs="楷体_GB2312"/>
          <w:b/>
          <w:bCs/>
          <w:spacing w:val="0"/>
          <w:sz w:val="30"/>
          <w:szCs w:val="30"/>
          <w:highlight w:val="none"/>
        </w:rPr>
        <w:t>通信网络提速，打造全域高速</w:t>
      </w:r>
      <w:r>
        <w:rPr>
          <w:rFonts w:hint="eastAsia" w:ascii="楷体_GB2312" w:hAnsi="楷体_GB2312" w:eastAsia="楷体_GB2312" w:cs="楷体_GB2312"/>
          <w:b/>
          <w:bCs/>
          <w:spacing w:val="0"/>
          <w:sz w:val="30"/>
          <w:szCs w:val="30"/>
          <w:highlight w:val="none"/>
          <w:lang w:val="en-US" w:eastAsia="zh-CN"/>
        </w:rPr>
        <w:t>通信</w:t>
      </w:r>
      <w:r>
        <w:rPr>
          <w:rFonts w:hint="eastAsia" w:ascii="楷体_GB2312" w:hAnsi="楷体_GB2312" w:eastAsia="楷体_GB2312" w:cs="楷体_GB2312"/>
          <w:b/>
          <w:bCs/>
          <w:spacing w:val="0"/>
          <w:sz w:val="30"/>
          <w:szCs w:val="30"/>
          <w:highlight w:val="none"/>
        </w:rPr>
        <w:t>网</w:t>
      </w:r>
      <w:bookmarkEnd w:id="205"/>
      <w:bookmarkEnd w:id="206"/>
      <w:bookmarkEnd w:id="207"/>
      <w:bookmarkEnd w:id="208"/>
      <w:bookmarkEnd w:id="209"/>
      <w:bookmarkEnd w:id="210"/>
      <w:bookmarkEnd w:id="211"/>
      <w:r>
        <w:rPr>
          <w:rFonts w:hint="eastAsia" w:ascii="楷体_GB2312" w:hAnsi="楷体_GB2312" w:eastAsia="楷体_GB2312" w:cs="楷体_GB2312"/>
          <w:b/>
          <w:bCs/>
          <w:spacing w:val="0"/>
          <w:sz w:val="30"/>
          <w:szCs w:val="30"/>
          <w:highlight w:val="none"/>
          <w:lang w:eastAsia="zh-CN"/>
        </w:rPr>
        <w:t>。</w:t>
      </w:r>
      <w:r>
        <w:rPr>
          <w:color w:val="auto"/>
          <w:spacing w:val="0"/>
          <w:sz w:val="30"/>
          <w:szCs w:val="30"/>
          <w:highlight w:val="none"/>
        </w:rPr>
        <w:t>持续优化三岛全域5G网络布局，</w:t>
      </w:r>
      <w:r>
        <w:rPr>
          <w:rFonts w:hint="eastAsia"/>
          <w:color w:val="auto"/>
          <w:spacing w:val="0"/>
          <w:sz w:val="30"/>
          <w:szCs w:val="30"/>
          <w:highlight w:val="none"/>
          <w:lang w:val="en-US" w:eastAsia="zh-CN"/>
        </w:rPr>
        <w:t>加快5G-A与千兆光网协同建设，推进IPv6规模部署和移动物联网全面发展，实现农村地区通信基础设施</w:t>
      </w:r>
      <w:r>
        <w:rPr>
          <w:color w:val="auto"/>
          <w:spacing w:val="0"/>
          <w:sz w:val="30"/>
          <w:szCs w:val="30"/>
          <w:highlight w:val="none"/>
        </w:rPr>
        <w:t>实现连续覆盖和深度覆</w:t>
      </w:r>
      <w:bookmarkStart w:id="534" w:name="_GoBack"/>
      <w:bookmarkEnd w:id="534"/>
      <w:r>
        <w:rPr>
          <w:color w:val="auto"/>
          <w:spacing w:val="0"/>
          <w:sz w:val="30"/>
          <w:szCs w:val="30"/>
          <w:highlight w:val="none"/>
        </w:rPr>
        <w:t>盖</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为数字化应用提供坚实网络支撑</w:t>
      </w:r>
      <w:r>
        <w:rPr>
          <w:color w:val="auto"/>
          <w:spacing w:val="0"/>
          <w:sz w:val="30"/>
          <w:szCs w:val="30"/>
          <w:highlight w:val="none"/>
        </w:rPr>
        <w:t>。推进“双千兆”网络协同发展，</w:t>
      </w:r>
      <w:r>
        <w:rPr>
          <w:rFonts w:hint="eastAsia"/>
          <w:color w:val="auto"/>
          <w:spacing w:val="0"/>
          <w:sz w:val="30"/>
          <w:szCs w:val="30"/>
          <w:highlight w:val="none"/>
          <w:lang w:val="en-US" w:eastAsia="zh-CN"/>
        </w:rPr>
        <w:t>支持企业改造万兆工厂，</w:t>
      </w:r>
      <w:r>
        <w:rPr>
          <w:color w:val="auto"/>
          <w:spacing w:val="0"/>
          <w:sz w:val="30"/>
          <w:szCs w:val="30"/>
          <w:highlight w:val="none"/>
        </w:rPr>
        <w:t>打造“全光网岛”，实现千兆光纤网络全覆盖。推动骨干网、城域网扩容升级，提升网络带宽和传输速率。</w:t>
      </w:r>
      <w:r>
        <w:rPr>
          <w:rFonts w:hint="eastAsia"/>
          <w:color w:val="auto"/>
          <w:spacing w:val="0"/>
          <w:sz w:val="30"/>
          <w:szCs w:val="30"/>
          <w:highlight w:val="none"/>
          <w:lang w:val="en-US" w:eastAsia="zh-CN"/>
        </w:rPr>
        <w:t>有序构建</w:t>
      </w:r>
      <w:r>
        <w:rPr>
          <w:color w:val="auto"/>
          <w:spacing w:val="0"/>
          <w:sz w:val="30"/>
          <w:szCs w:val="30"/>
          <w:highlight w:val="none"/>
        </w:rPr>
        <w:t>天地一体化通信网络，推进6G网络布局，推动卫星通信终端和地面站建设，提升应急通信保障能力。开展低空通信网络试点，为无人机、智能装备等提供通信支撑，</w:t>
      </w:r>
      <w:r>
        <w:rPr>
          <w:rFonts w:hint="eastAsia"/>
          <w:color w:val="auto"/>
          <w:spacing w:val="0"/>
          <w:sz w:val="30"/>
          <w:szCs w:val="30"/>
          <w:highlight w:val="none"/>
          <w:lang w:eastAsia="zh-CN"/>
        </w:rPr>
        <w:t>不断</w:t>
      </w:r>
      <w:r>
        <w:rPr>
          <w:color w:val="auto"/>
          <w:spacing w:val="0"/>
          <w:sz w:val="30"/>
          <w:szCs w:val="30"/>
          <w:highlight w:val="none"/>
        </w:rPr>
        <w:t>拓展低空经济应用场景。</w:t>
      </w:r>
    </w:p>
    <w:p w14:paraId="3AE33FF1">
      <w:pPr>
        <w:pStyle w:val="14"/>
        <w:bidi w:val="0"/>
        <w:rPr>
          <w:color w:val="auto"/>
          <w:spacing w:val="0"/>
          <w:sz w:val="30"/>
          <w:szCs w:val="30"/>
          <w:highlight w:val="none"/>
        </w:rPr>
      </w:pPr>
      <w:bookmarkStart w:id="212" w:name="_Toc205363177"/>
      <w:bookmarkStart w:id="213" w:name="_Toc27065"/>
      <w:bookmarkStart w:id="214" w:name="_Toc205207101"/>
      <w:bookmarkStart w:id="215" w:name="_Toc31262"/>
      <w:bookmarkStart w:id="216" w:name="_Toc30368"/>
      <w:bookmarkStart w:id="217" w:name="_Toc18883"/>
      <w:bookmarkStart w:id="218" w:name="_Toc6176"/>
      <w:r>
        <w:rPr>
          <w:rFonts w:hint="eastAsia" w:ascii="楷体_GB2312" w:hAnsi="楷体_GB2312" w:eastAsia="楷体_GB2312" w:cs="楷体_GB2312"/>
          <w:b/>
          <w:bCs/>
          <w:spacing w:val="0"/>
          <w:sz w:val="30"/>
          <w:szCs w:val="30"/>
          <w:highlight w:val="none"/>
        </w:rPr>
        <w:t>算力</w:t>
      </w:r>
      <w:r>
        <w:rPr>
          <w:rFonts w:hint="eastAsia" w:ascii="楷体_GB2312" w:hAnsi="楷体_GB2312" w:eastAsia="楷体_GB2312" w:cs="楷体_GB2312"/>
          <w:b/>
          <w:bCs/>
          <w:spacing w:val="0"/>
          <w:sz w:val="30"/>
          <w:szCs w:val="30"/>
          <w:highlight w:val="none"/>
          <w:lang w:val="en-US" w:eastAsia="zh-CN"/>
        </w:rPr>
        <w:t>网络</w:t>
      </w:r>
      <w:r>
        <w:rPr>
          <w:rFonts w:hint="eastAsia" w:ascii="楷体_GB2312" w:hAnsi="楷体_GB2312" w:eastAsia="楷体_GB2312" w:cs="楷体_GB2312"/>
          <w:b/>
          <w:bCs/>
          <w:spacing w:val="0"/>
          <w:sz w:val="30"/>
          <w:szCs w:val="30"/>
          <w:highlight w:val="none"/>
        </w:rPr>
        <w:t>扩容，建设绿色智能算力</w:t>
      </w:r>
      <w:bookmarkEnd w:id="212"/>
      <w:bookmarkEnd w:id="213"/>
      <w:bookmarkEnd w:id="214"/>
      <w:r>
        <w:rPr>
          <w:rFonts w:hint="eastAsia" w:ascii="楷体_GB2312" w:hAnsi="楷体_GB2312" w:eastAsia="楷体_GB2312" w:cs="楷体_GB2312"/>
          <w:b/>
          <w:bCs/>
          <w:spacing w:val="0"/>
          <w:sz w:val="30"/>
          <w:szCs w:val="30"/>
          <w:highlight w:val="none"/>
          <w:lang w:val="en-US" w:eastAsia="zh-CN"/>
        </w:rPr>
        <w:t>网</w:t>
      </w:r>
      <w:bookmarkEnd w:id="215"/>
      <w:bookmarkEnd w:id="216"/>
      <w:bookmarkEnd w:id="217"/>
      <w:bookmarkEnd w:id="218"/>
      <w:r>
        <w:rPr>
          <w:rFonts w:hint="eastAsia" w:ascii="楷体_GB2312" w:hAnsi="楷体_GB2312" w:eastAsia="楷体_GB2312" w:cs="楷体_GB2312"/>
          <w:b/>
          <w:bCs/>
          <w:spacing w:val="0"/>
          <w:sz w:val="30"/>
          <w:szCs w:val="30"/>
          <w:highlight w:val="none"/>
          <w:lang w:val="en-US" w:eastAsia="zh-CN"/>
        </w:rPr>
        <w:t>。</w:t>
      </w:r>
      <w:r>
        <w:rPr>
          <w:color w:val="auto"/>
          <w:spacing w:val="0"/>
          <w:sz w:val="30"/>
          <w:szCs w:val="30"/>
          <w:highlight w:val="none"/>
        </w:rPr>
        <w:t>吸引智能算力建设主体及下游云服务企业入驻，布局低碳算力节点，</w:t>
      </w:r>
      <w:r>
        <w:rPr>
          <w:rFonts w:hint="eastAsia"/>
          <w:color w:val="auto"/>
          <w:spacing w:val="0"/>
          <w:sz w:val="30"/>
          <w:szCs w:val="30"/>
          <w:highlight w:val="none"/>
          <w:lang w:val="en-US" w:eastAsia="zh-CN"/>
        </w:rPr>
        <w:t>逐步构建</w:t>
      </w:r>
      <w:r>
        <w:rPr>
          <w:color w:val="auto"/>
          <w:spacing w:val="0"/>
          <w:sz w:val="30"/>
          <w:szCs w:val="30"/>
          <w:highlight w:val="none"/>
        </w:rPr>
        <w:t>区域算</w:t>
      </w:r>
      <w:r>
        <w:rPr>
          <w:rFonts w:hint="eastAsia"/>
          <w:color w:val="auto"/>
          <w:spacing w:val="0"/>
          <w:sz w:val="30"/>
          <w:szCs w:val="30"/>
          <w:highlight w:val="none"/>
          <w:lang w:val="en-US" w:eastAsia="zh-CN"/>
        </w:rPr>
        <w:t>电网络协同体系</w:t>
      </w:r>
      <w:r>
        <w:rPr>
          <w:color w:val="auto"/>
          <w:spacing w:val="0"/>
          <w:sz w:val="30"/>
          <w:szCs w:val="30"/>
          <w:highlight w:val="none"/>
        </w:rPr>
        <w:t>。</w:t>
      </w:r>
      <w:r>
        <w:rPr>
          <w:rStyle w:val="35"/>
          <w:spacing w:val="0"/>
          <w:highlight w:val="none"/>
        </w:rPr>
        <w:t>部署边缘计算节点，</w:t>
      </w:r>
      <w:r>
        <w:rPr>
          <w:color w:val="auto"/>
          <w:spacing w:val="0"/>
          <w:sz w:val="30"/>
          <w:szCs w:val="30"/>
          <w:highlight w:val="none"/>
        </w:rPr>
        <w:t>构建“云边端”协同计算架构，在产业园区、社区、交通枢纽等区域部署边缘计算节点，降低数据传输延迟，提升实时计算能力</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进一步</w:t>
      </w:r>
      <w:r>
        <w:rPr>
          <w:color w:val="auto"/>
          <w:spacing w:val="0"/>
          <w:sz w:val="30"/>
          <w:szCs w:val="30"/>
          <w:highlight w:val="none"/>
        </w:rPr>
        <w:t>建</w:t>
      </w:r>
      <w:r>
        <w:rPr>
          <w:rFonts w:hint="eastAsia"/>
          <w:color w:val="auto"/>
          <w:spacing w:val="0"/>
          <w:sz w:val="30"/>
          <w:szCs w:val="30"/>
          <w:highlight w:val="none"/>
          <w:lang w:val="en-US" w:eastAsia="zh-CN"/>
        </w:rPr>
        <w:t>设</w:t>
      </w:r>
      <w:r>
        <w:rPr>
          <w:color w:val="auto"/>
          <w:spacing w:val="0"/>
          <w:sz w:val="30"/>
          <w:szCs w:val="30"/>
          <w:highlight w:val="none"/>
        </w:rPr>
        <w:t>边缘计算节点，实现重点区域全覆盖。扩容升级崇明政务数据中心，提升数据存储、计算、应用支撑能力。建立健全数据资源池，整合分散在各部门、各领域的数据资源，形成统一的数据中台，为城市治理和产业发展提供算力和数据支撑。深度融入长三角算力网络布局，与上海临港、江苏南通等算力枢纽建立“算力直连通道”，实现跨区域算力资源动态调度和互补余缺，促进长三角算力一体化发展。</w:t>
      </w:r>
    </w:p>
    <w:p w14:paraId="3BF428E8">
      <w:pPr>
        <w:pStyle w:val="14"/>
        <w:bidi w:val="0"/>
        <w:rPr>
          <w:rFonts w:hint="eastAsia" w:eastAsia="仿宋_GB2312"/>
          <w:color w:val="auto"/>
          <w:spacing w:val="0"/>
          <w:sz w:val="32"/>
          <w:szCs w:val="32"/>
          <w:highlight w:val="none"/>
          <w:lang w:val="en-US" w:eastAsia="zh-CN"/>
        </w:rPr>
      </w:pPr>
      <w:bookmarkStart w:id="219" w:name="_Toc24939"/>
      <w:bookmarkStart w:id="220" w:name="_Toc205207102"/>
      <w:bookmarkStart w:id="221" w:name="_Toc205363178"/>
      <w:bookmarkStart w:id="222" w:name="_Toc7988"/>
      <w:bookmarkStart w:id="223" w:name="_Toc25863"/>
      <w:bookmarkStart w:id="224" w:name="_Toc2803"/>
      <w:bookmarkStart w:id="225" w:name="_Toc26682"/>
      <w:r>
        <w:rPr>
          <w:rFonts w:hint="eastAsia" w:ascii="楷体_GB2312" w:hAnsi="楷体_GB2312" w:eastAsia="楷体_GB2312" w:cs="楷体_GB2312"/>
          <w:b/>
          <w:bCs/>
          <w:spacing w:val="0"/>
          <w:sz w:val="30"/>
          <w:szCs w:val="30"/>
          <w:highlight w:val="none"/>
        </w:rPr>
        <w:t>物联网络延伸，织密全域感知</w:t>
      </w:r>
      <w:r>
        <w:rPr>
          <w:rFonts w:hint="eastAsia" w:ascii="楷体_GB2312" w:hAnsi="楷体_GB2312" w:eastAsia="楷体_GB2312" w:cs="楷体_GB2312"/>
          <w:b/>
          <w:bCs/>
          <w:spacing w:val="0"/>
          <w:sz w:val="30"/>
          <w:szCs w:val="30"/>
          <w:highlight w:val="none"/>
          <w:lang w:val="en-US" w:eastAsia="zh-CN"/>
        </w:rPr>
        <w:t>物联</w:t>
      </w:r>
      <w:r>
        <w:rPr>
          <w:rFonts w:hint="eastAsia" w:ascii="楷体_GB2312" w:hAnsi="楷体_GB2312" w:eastAsia="楷体_GB2312" w:cs="楷体_GB2312"/>
          <w:b/>
          <w:bCs/>
          <w:spacing w:val="0"/>
          <w:sz w:val="30"/>
          <w:szCs w:val="30"/>
          <w:highlight w:val="none"/>
        </w:rPr>
        <w:t>网</w:t>
      </w:r>
      <w:bookmarkEnd w:id="219"/>
      <w:bookmarkEnd w:id="220"/>
      <w:bookmarkEnd w:id="221"/>
      <w:bookmarkEnd w:id="222"/>
      <w:bookmarkEnd w:id="223"/>
      <w:bookmarkEnd w:id="224"/>
      <w:bookmarkEnd w:id="225"/>
      <w:r>
        <w:rPr>
          <w:rFonts w:hint="eastAsia" w:ascii="楷体_GB2312" w:hAnsi="楷体_GB2312" w:eastAsia="楷体_GB2312" w:cs="楷体_GB2312"/>
          <w:b/>
          <w:bCs/>
          <w:spacing w:val="0"/>
          <w:sz w:val="30"/>
          <w:szCs w:val="30"/>
          <w:highlight w:val="none"/>
          <w:lang w:eastAsia="zh-CN"/>
        </w:rPr>
        <w:t>。</w:t>
      </w:r>
      <w:r>
        <w:rPr>
          <w:color w:val="auto"/>
          <w:spacing w:val="0"/>
          <w:sz w:val="32"/>
          <w:szCs w:val="32"/>
          <w:highlight w:val="none"/>
        </w:rPr>
        <w:t>统筹部署智能传感器、摄像头、RFID等感知设备，构建覆盖水、土、林、气、滩等生态要素和城市基础设施的全域物联网感知网络。</w:t>
      </w:r>
      <w:r>
        <w:rPr>
          <w:rFonts w:hint="eastAsia"/>
          <w:color w:val="auto"/>
          <w:spacing w:val="0"/>
          <w:sz w:val="32"/>
          <w:szCs w:val="32"/>
          <w:highlight w:val="none"/>
          <w:lang w:val="en-US" w:eastAsia="zh-CN"/>
        </w:rPr>
        <w:t>持续建设</w:t>
      </w:r>
      <w:r>
        <w:rPr>
          <w:color w:val="auto"/>
          <w:spacing w:val="0"/>
          <w:sz w:val="32"/>
          <w:szCs w:val="32"/>
          <w:highlight w:val="none"/>
        </w:rPr>
        <w:t>物联网感知设备，实现对生态环境、城市运行的全面感知和实时监测。推进桥梁、管网等</w:t>
      </w:r>
      <w:r>
        <w:rPr>
          <w:rStyle w:val="35"/>
          <w:spacing w:val="0"/>
          <w:highlight w:val="none"/>
        </w:rPr>
        <w:t>公共</w:t>
      </w:r>
      <w:r>
        <w:rPr>
          <w:color w:val="auto"/>
          <w:spacing w:val="0"/>
          <w:sz w:val="32"/>
          <w:szCs w:val="32"/>
          <w:highlight w:val="none"/>
        </w:rPr>
        <w:t>基础设施数字化改造，嵌入智能感知设备，打造“会感知、能思考”的智慧基础设施。</w:t>
      </w:r>
      <w:r>
        <w:rPr>
          <w:rFonts w:hint="eastAsia" w:ascii="仿宋_GB2312" w:hAnsi="仿宋_GB2312" w:eastAsia="仿宋_GB2312" w:cs="仿宋_GB2312"/>
          <w:color w:val="auto"/>
          <w:spacing w:val="0"/>
          <w:sz w:val="32"/>
          <w:szCs w:val="32"/>
          <w:highlight w:val="none"/>
          <w:lang w:val="en-US" w:eastAsia="zh-CN"/>
        </w:rPr>
        <w:t>统筹布设相关智能化分析应用设备，建设</w:t>
      </w:r>
      <w:r>
        <w:rPr>
          <w:rFonts w:hint="eastAsia" w:cs="仿宋_GB2312"/>
          <w:color w:val="auto"/>
          <w:spacing w:val="0"/>
          <w:sz w:val="32"/>
          <w:szCs w:val="32"/>
          <w:highlight w:val="none"/>
          <w:lang w:val="en-US" w:eastAsia="zh-CN"/>
        </w:rPr>
        <w:t>区域</w:t>
      </w:r>
      <w:r>
        <w:rPr>
          <w:rFonts w:hint="eastAsia" w:ascii="仿宋_GB2312" w:hAnsi="仿宋_GB2312" w:eastAsia="仿宋_GB2312" w:cs="仿宋_GB2312"/>
          <w:color w:val="auto"/>
          <w:spacing w:val="0"/>
          <w:sz w:val="32"/>
          <w:szCs w:val="32"/>
          <w:highlight w:val="none"/>
          <w:lang w:val="en-US" w:eastAsia="zh-CN"/>
        </w:rPr>
        <w:t>智能视频大基座，以动态支撑公安、生态环境、文旅、应急、市场监管、城运、城管等部门的各</w:t>
      </w:r>
      <w:r>
        <w:rPr>
          <w:rFonts w:hint="eastAsia" w:cs="仿宋_GB2312"/>
          <w:color w:val="auto"/>
          <w:spacing w:val="0"/>
          <w:sz w:val="32"/>
          <w:szCs w:val="32"/>
          <w:highlight w:val="none"/>
          <w:lang w:val="en-US" w:eastAsia="zh-CN"/>
        </w:rPr>
        <w:t>类</w:t>
      </w:r>
      <w:r>
        <w:rPr>
          <w:rFonts w:hint="eastAsia" w:ascii="仿宋_GB2312" w:hAnsi="仿宋_GB2312" w:eastAsia="仿宋_GB2312" w:cs="仿宋_GB2312"/>
          <w:color w:val="auto"/>
          <w:spacing w:val="0"/>
          <w:sz w:val="32"/>
          <w:szCs w:val="32"/>
          <w:highlight w:val="none"/>
          <w:lang w:val="en-US" w:eastAsia="zh-CN"/>
        </w:rPr>
        <w:t>实战应用场景，</w:t>
      </w:r>
      <w:r>
        <w:rPr>
          <w:rFonts w:hint="eastAsia" w:cs="仿宋_GB2312"/>
          <w:color w:val="auto"/>
          <w:spacing w:val="0"/>
          <w:sz w:val="32"/>
          <w:szCs w:val="32"/>
          <w:highlight w:val="none"/>
          <w:lang w:val="en-US" w:eastAsia="zh-CN"/>
        </w:rPr>
        <w:t>在提升社会治理效能、更好地</w:t>
      </w:r>
      <w:r>
        <w:rPr>
          <w:rFonts w:hint="eastAsia" w:ascii="仿宋_GB2312" w:hAnsi="仿宋_GB2312" w:eastAsia="仿宋_GB2312" w:cs="仿宋_GB2312"/>
          <w:color w:val="auto"/>
          <w:spacing w:val="0"/>
          <w:sz w:val="32"/>
          <w:szCs w:val="32"/>
          <w:highlight w:val="none"/>
          <w:lang w:val="en-US" w:eastAsia="zh-CN"/>
        </w:rPr>
        <w:t>服务群众</w:t>
      </w:r>
      <w:r>
        <w:rPr>
          <w:rFonts w:hint="eastAsia" w:cs="仿宋_GB2312"/>
          <w:color w:val="auto"/>
          <w:spacing w:val="0"/>
          <w:sz w:val="32"/>
          <w:szCs w:val="32"/>
          <w:highlight w:val="none"/>
          <w:lang w:val="en-US" w:eastAsia="zh-CN"/>
        </w:rPr>
        <w:t>的同时</w:t>
      </w:r>
      <w:r>
        <w:rPr>
          <w:rFonts w:hint="eastAsia" w:ascii="仿宋_GB2312" w:hAnsi="仿宋_GB2312" w:eastAsia="仿宋_GB2312" w:cs="仿宋_GB2312"/>
          <w:color w:val="auto"/>
          <w:spacing w:val="0"/>
          <w:sz w:val="32"/>
          <w:szCs w:val="32"/>
          <w:highlight w:val="none"/>
          <w:lang w:val="en-US" w:eastAsia="zh-CN"/>
        </w:rPr>
        <w:t>，</w:t>
      </w:r>
      <w:r>
        <w:rPr>
          <w:rFonts w:hint="eastAsia" w:cs="仿宋_GB2312"/>
          <w:color w:val="auto"/>
          <w:spacing w:val="0"/>
          <w:sz w:val="32"/>
          <w:szCs w:val="32"/>
          <w:highlight w:val="none"/>
          <w:lang w:val="en-US" w:eastAsia="zh-CN"/>
        </w:rPr>
        <w:t>有效避免重复建设、降低</w:t>
      </w:r>
      <w:r>
        <w:rPr>
          <w:rFonts w:hint="eastAsia" w:ascii="仿宋_GB2312" w:hAnsi="仿宋_GB2312" w:eastAsia="仿宋_GB2312" w:cs="仿宋_GB2312"/>
          <w:color w:val="auto"/>
          <w:spacing w:val="0"/>
          <w:sz w:val="32"/>
          <w:szCs w:val="32"/>
          <w:highlight w:val="none"/>
          <w:lang w:val="en-US" w:eastAsia="zh-CN"/>
        </w:rPr>
        <w:t>建设成本。</w:t>
      </w:r>
      <w:r>
        <w:rPr>
          <w:color w:val="auto"/>
          <w:spacing w:val="0"/>
          <w:sz w:val="32"/>
          <w:szCs w:val="32"/>
          <w:highlight w:val="none"/>
        </w:rPr>
        <w:t>在</w:t>
      </w:r>
      <w:r>
        <w:rPr>
          <w:rFonts w:hint="eastAsia"/>
          <w:color w:val="auto"/>
          <w:spacing w:val="0"/>
          <w:sz w:val="32"/>
          <w:szCs w:val="32"/>
          <w:highlight w:val="none"/>
          <w:lang w:val="en-US" w:eastAsia="zh-CN"/>
        </w:rPr>
        <w:t>重点区域</w:t>
      </w:r>
      <w:r>
        <w:rPr>
          <w:color w:val="auto"/>
          <w:spacing w:val="0"/>
          <w:sz w:val="32"/>
          <w:szCs w:val="32"/>
          <w:highlight w:val="none"/>
        </w:rPr>
        <w:t>部署智能照明、环境监测、人流疏导等设备，提升公共服务智能化水平。发挥区级物联网管理平台管理能力，实现感知设备的集中管理、数据汇聚和智能分析；开发多样化应用接口，为各部门、各行业提供标准化的物联数据服务，促进数据共享和应用创新。</w:t>
      </w:r>
    </w:p>
    <w:p w14:paraId="100528DD">
      <w:pPr>
        <w:pStyle w:val="4"/>
        <w:keepNext w:val="0"/>
        <w:keepLines w:val="0"/>
        <w:pageBreakBefore w:val="0"/>
        <w:widowControl w:val="0"/>
        <w:numPr>
          <w:ilvl w:val="0"/>
          <w:numId w:val="0"/>
        </w:numPr>
        <w:kinsoku/>
        <w:wordWrap/>
        <w:overflowPunct/>
        <w:topLinePunct w:val="0"/>
        <w:autoSpaceDE/>
        <w:autoSpaceDN/>
        <w:bidi w:val="0"/>
        <w:snapToGrid/>
        <w:spacing w:line="560" w:lineRule="exact"/>
        <w:ind w:left="632" w:leftChars="0"/>
        <w:jc w:val="both"/>
        <w:textAlignment w:val="auto"/>
        <w:rPr>
          <w:b w:val="0"/>
          <w:color w:val="auto"/>
          <w:spacing w:val="0"/>
          <w:sz w:val="32"/>
          <w:szCs w:val="32"/>
          <w:highlight w:val="none"/>
        </w:rPr>
      </w:pPr>
      <w:bookmarkStart w:id="226" w:name="_Toc205363179"/>
      <w:bookmarkStart w:id="227" w:name="_Toc20402"/>
      <w:bookmarkStart w:id="228" w:name="_Toc205207103"/>
      <w:bookmarkStart w:id="229" w:name="_Toc1074892501"/>
      <w:bookmarkStart w:id="230" w:name="_Toc22235"/>
      <w:bookmarkStart w:id="231" w:name="_Toc10142"/>
      <w:bookmarkStart w:id="232" w:name="_Toc13373"/>
      <w:bookmarkStart w:id="233" w:name="_Toc12347"/>
      <w:bookmarkStart w:id="234" w:name="_Toc1754292071"/>
      <w:bookmarkStart w:id="235" w:name="_Toc211773565"/>
      <w:bookmarkStart w:id="236" w:name="_Toc21803"/>
      <w:bookmarkStart w:id="237" w:name="_Toc30483"/>
      <w:bookmarkStart w:id="238" w:name="_Toc9321"/>
      <w:bookmarkStart w:id="239" w:name="_Toc8927"/>
      <w:r>
        <w:rPr>
          <w:rFonts w:hint="eastAsia"/>
          <w:color w:val="auto"/>
          <w:spacing w:val="0"/>
          <w:sz w:val="32"/>
          <w:szCs w:val="32"/>
          <w:highlight w:val="none"/>
          <w:lang w:eastAsia="zh-CN"/>
        </w:rPr>
        <w:t>二、</w:t>
      </w:r>
      <w:r>
        <w:rPr>
          <w:color w:val="auto"/>
          <w:spacing w:val="0"/>
          <w:sz w:val="32"/>
          <w:szCs w:val="32"/>
          <w:highlight w:val="none"/>
        </w:rPr>
        <w:t>打造数治融合的数据要素资源体系</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257A088">
      <w:pPr>
        <w:pStyle w:val="14"/>
        <w:bidi w:val="0"/>
        <w:rPr>
          <w:color w:val="auto"/>
          <w:spacing w:val="0"/>
          <w:sz w:val="30"/>
          <w:szCs w:val="30"/>
          <w:highlight w:val="none"/>
        </w:rPr>
      </w:pPr>
      <w:bookmarkStart w:id="240" w:name="_Toc205363180"/>
      <w:bookmarkStart w:id="241" w:name="_Toc28288"/>
      <w:bookmarkStart w:id="242" w:name="_Toc18232"/>
      <w:bookmarkStart w:id="243" w:name="_Toc205207104"/>
      <w:bookmarkStart w:id="244" w:name="_Toc26210"/>
      <w:bookmarkStart w:id="245" w:name="_Toc29694"/>
      <w:bookmarkStart w:id="246" w:name="_Toc4575"/>
      <w:r>
        <w:rPr>
          <w:rFonts w:hint="eastAsia" w:ascii="楷体_GB2312" w:hAnsi="楷体_GB2312" w:eastAsia="楷体_GB2312" w:cs="楷体_GB2312"/>
          <w:b/>
          <w:bCs/>
          <w:spacing w:val="0"/>
          <w:sz w:val="30"/>
          <w:szCs w:val="30"/>
          <w:highlight w:val="none"/>
        </w:rPr>
        <w:t>畅通数据流通渠道，激活要素配置效能</w:t>
      </w:r>
      <w:bookmarkEnd w:id="240"/>
      <w:bookmarkEnd w:id="241"/>
      <w:bookmarkEnd w:id="242"/>
      <w:bookmarkEnd w:id="243"/>
      <w:bookmarkEnd w:id="244"/>
      <w:bookmarkEnd w:id="245"/>
      <w:bookmarkEnd w:id="246"/>
      <w:r>
        <w:rPr>
          <w:rFonts w:hint="eastAsia" w:ascii="楷体_GB2312" w:hAnsi="楷体_GB2312" w:eastAsia="楷体_GB2312" w:cs="楷体_GB2312"/>
          <w:b/>
          <w:bCs/>
          <w:spacing w:val="0"/>
          <w:sz w:val="30"/>
          <w:szCs w:val="30"/>
          <w:highlight w:val="none"/>
          <w:lang w:eastAsia="zh-CN"/>
        </w:rPr>
        <w:t>。</w:t>
      </w:r>
      <w:r>
        <w:rPr>
          <w:color w:val="auto"/>
          <w:spacing w:val="0"/>
          <w:sz w:val="30"/>
          <w:szCs w:val="30"/>
          <w:highlight w:val="none"/>
        </w:rPr>
        <w:t>依托</w:t>
      </w:r>
      <w:r>
        <w:rPr>
          <w:rFonts w:hint="eastAsia"/>
          <w:color w:val="auto"/>
          <w:spacing w:val="0"/>
          <w:sz w:val="30"/>
          <w:szCs w:val="30"/>
          <w:highlight w:val="none"/>
          <w:lang w:val="en-US" w:eastAsia="zh-CN"/>
        </w:rPr>
        <w:t>可信</w:t>
      </w:r>
      <w:r>
        <w:rPr>
          <w:color w:val="auto"/>
          <w:spacing w:val="0"/>
          <w:sz w:val="30"/>
          <w:szCs w:val="30"/>
          <w:highlight w:val="none"/>
        </w:rPr>
        <w:t>数据空间、区块链、</w:t>
      </w:r>
      <w:r>
        <w:rPr>
          <w:rFonts w:hint="eastAsia"/>
          <w:color w:val="auto"/>
          <w:spacing w:val="0"/>
          <w:sz w:val="30"/>
          <w:szCs w:val="30"/>
          <w:highlight w:val="none"/>
          <w:lang w:val="en-US" w:eastAsia="zh-CN"/>
        </w:rPr>
        <w:t>隐私计算、数据沙箱等数字技术和数据基础设施</w:t>
      </w:r>
      <w:r>
        <w:rPr>
          <w:color w:val="auto"/>
          <w:spacing w:val="0"/>
          <w:sz w:val="30"/>
          <w:szCs w:val="30"/>
          <w:highlight w:val="none"/>
        </w:rPr>
        <w:t>，打造安全可靠的数据流通环境。依托上海制度创新优势，</w:t>
      </w:r>
      <w:r>
        <w:rPr>
          <w:rFonts w:hint="eastAsia"/>
          <w:color w:val="auto"/>
          <w:spacing w:val="0"/>
          <w:sz w:val="30"/>
          <w:szCs w:val="30"/>
          <w:highlight w:val="none"/>
          <w:lang w:val="en-US" w:eastAsia="zh-CN"/>
        </w:rPr>
        <w:t>争取</w:t>
      </w:r>
      <w:r>
        <w:rPr>
          <w:color w:val="auto"/>
          <w:spacing w:val="0"/>
          <w:sz w:val="30"/>
          <w:szCs w:val="30"/>
          <w:highlight w:val="none"/>
        </w:rPr>
        <w:t>在东滩区域构建跨境数据安全交换平台，为</w:t>
      </w:r>
      <w:r>
        <w:rPr>
          <w:rFonts w:hint="eastAsia"/>
          <w:color w:val="auto"/>
          <w:spacing w:val="0"/>
          <w:sz w:val="30"/>
          <w:szCs w:val="30"/>
          <w:highlight w:val="none"/>
          <w:lang w:val="en-US" w:eastAsia="zh-CN"/>
        </w:rPr>
        <w:t>本</w:t>
      </w:r>
      <w:r>
        <w:rPr>
          <w:color w:val="auto"/>
          <w:spacing w:val="0"/>
          <w:sz w:val="30"/>
          <w:szCs w:val="30"/>
          <w:highlight w:val="none"/>
        </w:rPr>
        <w:t>区开展跨境电商、国际数据合作等业务提供支撑。建立数据交易风险预警机制，利用区块链技术对数据交易全过程进行存证追溯，逐步建立可信的跨境贸易数据共享和交易机制，提高贸易效率，降低交易成本。依托崇明生态产业</w:t>
      </w:r>
      <w:r>
        <w:rPr>
          <w:rFonts w:hint="eastAsia"/>
          <w:color w:val="auto"/>
          <w:spacing w:val="0"/>
          <w:sz w:val="30"/>
          <w:szCs w:val="30"/>
          <w:highlight w:val="none"/>
          <w:lang w:val="en-US" w:eastAsia="zh-CN"/>
        </w:rPr>
        <w:t>优势</w:t>
      </w:r>
      <w:r>
        <w:rPr>
          <w:color w:val="auto"/>
          <w:spacing w:val="0"/>
          <w:sz w:val="30"/>
          <w:szCs w:val="30"/>
          <w:highlight w:val="none"/>
        </w:rPr>
        <w:t>，聚焦生态监测数据、农产品溯源数据、乡村旅游数据等</w:t>
      </w:r>
      <w:r>
        <w:rPr>
          <w:rFonts w:hint="eastAsia"/>
          <w:color w:val="auto"/>
          <w:spacing w:val="0"/>
          <w:sz w:val="30"/>
          <w:szCs w:val="30"/>
          <w:highlight w:val="none"/>
          <w:lang w:val="en-US" w:eastAsia="zh-CN"/>
        </w:rPr>
        <w:t>重点</w:t>
      </w:r>
      <w:r>
        <w:rPr>
          <w:color w:val="auto"/>
          <w:spacing w:val="0"/>
          <w:sz w:val="30"/>
          <w:szCs w:val="30"/>
          <w:highlight w:val="none"/>
        </w:rPr>
        <w:t>领域，</w:t>
      </w:r>
      <w:r>
        <w:rPr>
          <w:rFonts w:hint="eastAsia"/>
          <w:color w:val="auto"/>
          <w:spacing w:val="0"/>
          <w:sz w:val="30"/>
          <w:szCs w:val="30"/>
          <w:highlight w:val="none"/>
          <w:lang w:val="en-US" w:eastAsia="zh-CN"/>
        </w:rPr>
        <w:t>形成</w:t>
      </w:r>
      <w:r>
        <w:rPr>
          <w:color w:val="auto"/>
          <w:spacing w:val="0"/>
          <w:sz w:val="30"/>
          <w:szCs w:val="30"/>
          <w:highlight w:val="none"/>
        </w:rPr>
        <w:t>崇明生态数据交易集合，推动生态数据交易。培育数据流通服务生态，引进知名数据服务机构设立分支机构，鼓励数据商创新数据流通模式，培育本土数商企业，提供数据采集、清洗、标注、交易经纪等服务。</w:t>
      </w:r>
    </w:p>
    <w:p w14:paraId="767E3EC8">
      <w:pPr>
        <w:pStyle w:val="14"/>
        <w:bidi w:val="0"/>
        <w:rPr>
          <w:b/>
          <w:color w:val="auto"/>
          <w:spacing w:val="0"/>
          <w:sz w:val="30"/>
          <w:szCs w:val="30"/>
          <w:highlight w:val="none"/>
        </w:rPr>
      </w:pPr>
      <w:bookmarkStart w:id="247" w:name="_Toc205207105"/>
      <w:bookmarkStart w:id="248" w:name="_Toc15140"/>
      <w:bookmarkStart w:id="249" w:name="_Toc13411"/>
      <w:bookmarkStart w:id="250" w:name="_Toc205363181"/>
      <w:bookmarkStart w:id="251" w:name="_Toc16233"/>
      <w:bookmarkStart w:id="252" w:name="_Toc28760"/>
      <w:bookmarkStart w:id="253" w:name="_Toc11058"/>
      <w:r>
        <w:rPr>
          <w:rFonts w:hint="eastAsia" w:ascii="楷体_GB2312" w:hAnsi="楷体_GB2312" w:eastAsia="楷体_GB2312" w:cs="楷体_GB2312"/>
          <w:b/>
          <w:bCs/>
          <w:spacing w:val="0"/>
          <w:sz w:val="30"/>
          <w:szCs w:val="30"/>
          <w:highlight w:val="none"/>
        </w:rPr>
        <w:t>推动</w:t>
      </w:r>
      <w:r>
        <w:rPr>
          <w:rFonts w:hint="eastAsia" w:ascii="楷体_GB2312" w:hAnsi="楷体_GB2312" w:eastAsia="楷体_GB2312" w:cs="楷体_GB2312"/>
          <w:b/>
          <w:bCs/>
          <w:spacing w:val="0"/>
          <w:sz w:val="30"/>
          <w:szCs w:val="30"/>
          <w:highlight w:val="none"/>
          <w:lang w:val="en-US" w:eastAsia="zh-CN"/>
        </w:rPr>
        <w:t>数据开发利用</w:t>
      </w:r>
      <w:r>
        <w:rPr>
          <w:rFonts w:hint="eastAsia" w:ascii="楷体_GB2312" w:hAnsi="楷体_GB2312" w:eastAsia="楷体_GB2312" w:cs="楷体_GB2312"/>
          <w:b/>
          <w:bCs/>
          <w:spacing w:val="0"/>
          <w:sz w:val="30"/>
          <w:szCs w:val="30"/>
          <w:highlight w:val="none"/>
        </w:rPr>
        <w:t>，释放</w:t>
      </w:r>
      <w:r>
        <w:rPr>
          <w:rFonts w:hint="eastAsia" w:ascii="楷体_GB2312" w:hAnsi="楷体_GB2312" w:eastAsia="楷体_GB2312" w:cs="楷体_GB2312"/>
          <w:b/>
          <w:bCs/>
          <w:spacing w:val="0"/>
          <w:sz w:val="30"/>
          <w:szCs w:val="30"/>
          <w:highlight w:val="none"/>
          <w:lang w:val="en-US" w:eastAsia="zh-CN"/>
        </w:rPr>
        <w:t>数据要素</w:t>
      </w:r>
      <w:r>
        <w:rPr>
          <w:rFonts w:hint="eastAsia" w:ascii="楷体_GB2312" w:hAnsi="楷体_GB2312" w:eastAsia="楷体_GB2312" w:cs="楷体_GB2312"/>
          <w:b/>
          <w:bCs/>
          <w:spacing w:val="0"/>
          <w:sz w:val="30"/>
          <w:szCs w:val="30"/>
          <w:highlight w:val="none"/>
        </w:rPr>
        <w:t>价值</w:t>
      </w:r>
      <w:bookmarkEnd w:id="247"/>
      <w:bookmarkEnd w:id="248"/>
      <w:bookmarkEnd w:id="249"/>
      <w:bookmarkEnd w:id="250"/>
      <w:bookmarkEnd w:id="251"/>
      <w:bookmarkEnd w:id="252"/>
      <w:bookmarkEnd w:id="253"/>
      <w:r>
        <w:rPr>
          <w:rFonts w:hint="eastAsia" w:ascii="楷体_GB2312" w:hAnsi="楷体_GB2312" w:eastAsia="楷体_GB2312" w:cs="楷体_GB2312"/>
          <w:b/>
          <w:bCs/>
          <w:spacing w:val="0"/>
          <w:sz w:val="30"/>
          <w:szCs w:val="30"/>
          <w:highlight w:val="none"/>
          <w:lang w:eastAsia="zh-CN"/>
        </w:rPr>
        <w:t>。</w:t>
      </w:r>
      <w:r>
        <w:rPr>
          <w:rFonts w:hint="eastAsia"/>
          <w:color w:val="auto"/>
          <w:spacing w:val="0"/>
          <w:sz w:val="30"/>
          <w:szCs w:val="30"/>
          <w:highlight w:val="none"/>
          <w:lang w:val="en-US" w:eastAsia="zh-CN"/>
        </w:rPr>
        <w:t>依托本市</w:t>
      </w:r>
      <w:r>
        <w:rPr>
          <w:color w:val="auto"/>
          <w:spacing w:val="0"/>
          <w:sz w:val="30"/>
          <w:szCs w:val="30"/>
          <w:highlight w:val="none"/>
        </w:rPr>
        <w:t>公共数据开放平台，</w:t>
      </w:r>
      <w:r>
        <w:rPr>
          <w:rFonts w:hint="eastAsia"/>
          <w:color w:val="auto"/>
          <w:spacing w:val="0"/>
          <w:sz w:val="30"/>
          <w:szCs w:val="30"/>
          <w:highlight w:val="none"/>
          <w:lang w:val="en-US" w:eastAsia="zh-CN"/>
        </w:rPr>
        <w:t>不断</w:t>
      </w:r>
      <w:r>
        <w:rPr>
          <w:color w:val="auto"/>
          <w:spacing w:val="0"/>
          <w:sz w:val="30"/>
          <w:szCs w:val="30"/>
          <w:highlight w:val="none"/>
        </w:rPr>
        <w:t>拓展</w:t>
      </w:r>
      <w:r>
        <w:rPr>
          <w:rFonts w:hint="eastAsia"/>
          <w:color w:val="auto"/>
          <w:spacing w:val="0"/>
          <w:sz w:val="30"/>
          <w:szCs w:val="30"/>
          <w:highlight w:val="none"/>
          <w:lang w:val="en-US" w:eastAsia="zh-CN"/>
        </w:rPr>
        <w:t>公共数据开放范围，重点开放</w:t>
      </w:r>
      <w:r>
        <w:rPr>
          <w:color w:val="auto"/>
          <w:spacing w:val="0"/>
          <w:sz w:val="30"/>
          <w:szCs w:val="30"/>
          <w:highlight w:val="none"/>
        </w:rPr>
        <w:t>生态环保、农业农村、公共卫生等领域公共数据。建立公共数据开放需求反馈机制，定期收集企业、科研机构等对公共数据的需求，针对性调整开放策略。推动跨部门公共数据共享，实现政务数据、社会数据融合应用，提升政府决策科学性与公共服务效能。建立公共数据质量管理体系，</w:t>
      </w:r>
      <w:r>
        <w:rPr>
          <w:rFonts w:hint="eastAsia"/>
          <w:color w:val="auto"/>
          <w:spacing w:val="0"/>
          <w:sz w:val="30"/>
          <w:szCs w:val="30"/>
          <w:highlight w:val="none"/>
          <w:lang w:val="en-US" w:eastAsia="zh-CN"/>
        </w:rPr>
        <w:t>严格执行</w:t>
      </w:r>
      <w:r>
        <w:rPr>
          <w:color w:val="auto"/>
          <w:spacing w:val="0"/>
          <w:sz w:val="30"/>
          <w:szCs w:val="30"/>
          <w:highlight w:val="none"/>
        </w:rPr>
        <w:t>数据采集、存储、更新等环节质量标准，确保公共数据准确性、完整性、时效性。</w:t>
      </w:r>
      <w:r>
        <w:rPr>
          <w:rFonts w:hint="eastAsia"/>
          <w:color w:val="auto"/>
          <w:spacing w:val="0"/>
          <w:sz w:val="30"/>
          <w:szCs w:val="30"/>
          <w:highlight w:val="none"/>
          <w:lang w:val="en-US" w:eastAsia="zh-CN"/>
        </w:rPr>
        <w:t>深化</w:t>
      </w:r>
      <w:r>
        <w:rPr>
          <w:color w:val="auto"/>
          <w:spacing w:val="0"/>
          <w:sz w:val="30"/>
          <w:szCs w:val="30"/>
          <w:highlight w:val="none"/>
        </w:rPr>
        <w:t>数据创新实验室模式，创新“政产学研”协同机制，鼓励社会力量参与公共数据运营，挖掘公共数据的经济和社会价值。围绕智慧农业、生态旅游等重点领域，选取区域特色公共数据项目开展授权运营试点，将公共数据产品经营权授予专业运营机构。加强公共数据安全防护，部署数据加密、访问控制、安全审计等技术手段，对涉及个人隐私、商业秘密的数据严格管控。</w:t>
      </w:r>
    </w:p>
    <w:p w14:paraId="13DC701C">
      <w:pPr>
        <w:pStyle w:val="14"/>
        <w:bidi w:val="0"/>
        <w:rPr>
          <w:color w:val="auto"/>
          <w:spacing w:val="0"/>
          <w:sz w:val="30"/>
          <w:szCs w:val="30"/>
          <w:highlight w:val="none"/>
        </w:rPr>
      </w:pPr>
      <w:bookmarkStart w:id="254" w:name="_Toc3259"/>
      <w:bookmarkStart w:id="255" w:name="_Toc32642"/>
      <w:bookmarkStart w:id="256" w:name="_Toc19852"/>
      <w:bookmarkStart w:id="257" w:name="_Toc205207106"/>
      <w:bookmarkStart w:id="258" w:name="_Toc20646"/>
      <w:bookmarkStart w:id="259" w:name="_Toc205363182"/>
      <w:bookmarkStart w:id="260" w:name="_Toc15537"/>
      <w:r>
        <w:rPr>
          <w:rFonts w:hint="eastAsia" w:ascii="楷体_GB2312" w:hAnsi="楷体_GB2312" w:eastAsia="楷体_GB2312" w:cs="楷体_GB2312"/>
          <w:b/>
          <w:bCs/>
          <w:spacing w:val="0"/>
          <w:sz w:val="30"/>
          <w:szCs w:val="30"/>
          <w:highlight w:val="none"/>
        </w:rPr>
        <w:t>建设可信数据空间，构建安全共享环境</w:t>
      </w:r>
      <w:bookmarkEnd w:id="254"/>
      <w:bookmarkEnd w:id="255"/>
      <w:bookmarkEnd w:id="256"/>
      <w:bookmarkEnd w:id="257"/>
      <w:bookmarkEnd w:id="258"/>
      <w:bookmarkEnd w:id="259"/>
      <w:bookmarkEnd w:id="260"/>
      <w:r>
        <w:rPr>
          <w:rFonts w:hint="eastAsia" w:ascii="楷体_GB2312" w:hAnsi="楷体_GB2312" w:eastAsia="楷体_GB2312" w:cs="楷体_GB2312"/>
          <w:b/>
          <w:bCs/>
          <w:spacing w:val="0"/>
          <w:sz w:val="30"/>
          <w:szCs w:val="30"/>
          <w:highlight w:val="none"/>
          <w:lang w:eastAsia="zh-CN"/>
        </w:rPr>
        <w:t>。</w:t>
      </w:r>
      <w:r>
        <w:rPr>
          <w:color w:val="auto"/>
          <w:spacing w:val="0"/>
          <w:sz w:val="30"/>
          <w:szCs w:val="30"/>
          <w:highlight w:val="none"/>
        </w:rPr>
        <w:t>围绕生态、农业、医疗、金融等重点领域，推动企业、行业、城市、个人、跨境等五类数据空间建设和应用探索，促进数据要素在不同数据空间的流通和共享，释放数据价值。推动可信数据空间应用场景落地，</w:t>
      </w:r>
      <w:r>
        <w:rPr>
          <w:rFonts w:hint="eastAsia"/>
          <w:color w:val="auto"/>
          <w:spacing w:val="0"/>
          <w:sz w:val="30"/>
          <w:szCs w:val="30"/>
          <w:highlight w:val="none"/>
          <w:lang w:val="en-US" w:eastAsia="zh-CN"/>
        </w:rPr>
        <w:t>依托市级平台，</w:t>
      </w:r>
      <w:r>
        <w:rPr>
          <w:color w:val="auto"/>
          <w:spacing w:val="0"/>
          <w:sz w:val="30"/>
          <w:szCs w:val="30"/>
          <w:highlight w:val="none"/>
        </w:rPr>
        <w:t>在生态监测领域</w:t>
      </w:r>
      <w:r>
        <w:rPr>
          <w:rFonts w:hint="eastAsia"/>
          <w:color w:val="auto"/>
          <w:spacing w:val="0"/>
          <w:sz w:val="30"/>
          <w:szCs w:val="30"/>
          <w:highlight w:val="none"/>
          <w:lang w:val="en-US" w:eastAsia="zh-CN"/>
        </w:rPr>
        <w:t>探索</w:t>
      </w:r>
      <w:r>
        <w:rPr>
          <w:color w:val="auto"/>
          <w:spacing w:val="0"/>
          <w:sz w:val="30"/>
          <w:szCs w:val="30"/>
          <w:highlight w:val="none"/>
        </w:rPr>
        <w:t>利用区块链技术构建生态数据可信采集网络，确保监测数据不可篡改；在智慧农业中实现农产品从种植、加工到销售全流程信息上链，提升农产品溯源可信度。在医疗领域</w:t>
      </w:r>
      <w:r>
        <w:rPr>
          <w:rFonts w:hint="eastAsia"/>
          <w:color w:val="auto"/>
          <w:spacing w:val="0"/>
          <w:sz w:val="30"/>
          <w:szCs w:val="30"/>
          <w:highlight w:val="none"/>
          <w:lang w:val="en-US" w:eastAsia="zh-CN"/>
        </w:rPr>
        <w:t>探索建立</w:t>
      </w:r>
      <w:r>
        <w:rPr>
          <w:color w:val="auto"/>
          <w:spacing w:val="0"/>
          <w:sz w:val="30"/>
          <w:szCs w:val="30"/>
          <w:highlight w:val="none"/>
        </w:rPr>
        <w:t>基于可信数据空间的医疗数据共享平台，实现</w:t>
      </w:r>
      <w:r>
        <w:rPr>
          <w:rFonts w:hint="eastAsia"/>
          <w:color w:val="auto"/>
          <w:spacing w:val="0"/>
          <w:sz w:val="30"/>
          <w:szCs w:val="30"/>
          <w:highlight w:val="none"/>
          <w:lang w:val="en-US" w:eastAsia="zh-CN"/>
        </w:rPr>
        <w:t>公立、民营医疗机构数据互认，</w:t>
      </w:r>
      <w:r>
        <w:rPr>
          <w:color w:val="auto"/>
          <w:spacing w:val="0"/>
          <w:sz w:val="30"/>
          <w:szCs w:val="30"/>
          <w:highlight w:val="none"/>
        </w:rPr>
        <w:t>患者病历、检验报告等数据在不同医疗机构间安全共享，提升医疗服务协同效率；在金融领域构建企业可信数据空间，金融机构可在授权下获取企业经营数据，精准评估企业信用，降低融资风险。</w:t>
      </w:r>
      <w:r>
        <w:rPr>
          <w:rFonts w:hint="eastAsia"/>
          <w:color w:val="auto"/>
          <w:spacing w:val="0"/>
          <w:sz w:val="30"/>
          <w:szCs w:val="30"/>
          <w:highlight w:val="none"/>
          <w:lang w:val="en-US" w:eastAsia="zh-CN"/>
        </w:rPr>
        <w:t>鼓励和支持企业严格按照数据安全认证体系，参与跨境数据合规流动。</w:t>
      </w:r>
      <w:r>
        <w:rPr>
          <w:color w:val="auto"/>
          <w:spacing w:val="0"/>
          <w:sz w:val="30"/>
          <w:szCs w:val="30"/>
          <w:highlight w:val="none"/>
        </w:rPr>
        <w:t>完善数据安全设施体系，加强数据加密、访问控制等安全技术应用，保障数据安全。对涉及生态数据、个人信息的系统实行访问权限最小化管控，</w:t>
      </w:r>
      <w:r>
        <w:rPr>
          <w:rFonts w:hint="eastAsia"/>
          <w:color w:val="auto"/>
          <w:spacing w:val="0"/>
          <w:sz w:val="30"/>
          <w:szCs w:val="30"/>
          <w:highlight w:val="none"/>
          <w:lang w:eastAsia="zh-CN"/>
        </w:rPr>
        <w:t>实现</w:t>
      </w:r>
      <w:r>
        <w:rPr>
          <w:color w:val="auto"/>
          <w:spacing w:val="0"/>
          <w:sz w:val="30"/>
          <w:szCs w:val="30"/>
          <w:highlight w:val="none"/>
        </w:rPr>
        <w:t>关键信息基础设施安全防护达标率100%。</w:t>
      </w:r>
    </w:p>
    <w:p w14:paraId="46897282">
      <w:pPr>
        <w:rPr>
          <w:rFonts w:hint="eastAsia"/>
          <w:color w:val="auto"/>
          <w:spacing w:val="0"/>
          <w:highlight w:val="none"/>
          <w:lang w:eastAsia="zh-CN"/>
        </w:rPr>
      </w:pPr>
      <w:bookmarkStart w:id="261" w:name="_Toc13332"/>
      <w:bookmarkStart w:id="262" w:name="_Toc205207107"/>
      <w:bookmarkStart w:id="263" w:name="_Toc31246"/>
      <w:bookmarkStart w:id="264" w:name="_Toc289094270"/>
      <w:bookmarkStart w:id="265" w:name="_Toc22990"/>
      <w:bookmarkStart w:id="266" w:name="_Toc27352"/>
      <w:bookmarkStart w:id="267" w:name="_Toc320946406"/>
      <w:bookmarkStart w:id="268" w:name="_Toc205363183"/>
      <w:bookmarkStart w:id="269" w:name="_Toc31932"/>
      <w:r>
        <w:rPr>
          <w:rFonts w:hint="eastAsia"/>
          <w:color w:val="auto"/>
          <w:spacing w:val="0"/>
          <w:highlight w:val="none"/>
          <w:lang w:eastAsia="zh-CN"/>
        </w:rPr>
        <w:br w:type="page"/>
      </w:r>
    </w:p>
    <w:p w14:paraId="6330E71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spacing w:val="0"/>
          <w:highlight w:val="none"/>
        </w:rPr>
      </w:pPr>
      <w:bookmarkStart w:id="270" w:name="_Toc1045291113"/>
      <w:bookmarkStart w:id="271" w:name="_Toc8279"/>
      <w:bookmarkStart w:id="272" w:name="_Toc28245"/>
      <w:bookmarkStart w:id="273" w:name="_Toc16003"/>
      <w:bookmarkStart w:id="274" w:name="_Toc2212"/>
      <w:r>
        <w:rPr>
          <w:rFonts w:hint="eastAsia"/>
          <w:spacing w:val="0"/>
          <w:highlight w:val="none"/>
          <w:lang w:eastAsia="zh-CN"/>
        </w:rPr>
        <w:t>第四章、</w:t>
      </w:r>
      <w:r>
        <w:rPr>
          <w:spacing w:val="0"/>
          <w:highlight w:val="none"/>
        </w:rPr>
        <w:t>推进</w:t>
      </w:r>
      <w:r>
        <w:rPr>
          <w:rFonts w:hint="eastAsia"/>
          <w:spacing w:val="0"/>
          <w:highlight w:val="none"/>
          <w:lang w:eastAsia="zh-CN"/>
        </w:rPr>
        <w:t>“</w:t>
      </w:r>
      <w:r>
        <w:rPr>
          <w:spacing w:val="0"/>
          <w:highlight w:val="none"/>
        </w:rPr>
        <w:t>三大融合</w:t>
      </w:r>
      <w:r>
        <w:rPr>
          <w:rFonts w:hint="eastAsia"/>
          <w:spacing w:val="0"/>
          <w:highlight w:val="none"/>
          <w:lang w:eastAsia="zh-CN"/>
        </w:rPr>
        <w:t>”</w:t>
      </w:r>
      <w:r>
        <w:rPr>
          <w:spacing w:val="0"/>
          <w:highlight w:val="none"/>
        </w:rPr>
        <w:t>，释放数字生态协同效能</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D4E856B">
      <w:pPr>
        <w:pStyle w:val="4"/>
        <w:keepNext w:val="0"/>
        <w:keepLines w:val="0"/>
        <w:pageBreakBefore w:val="0"/>
        <w:widowControl w:val="0"/>
        <w:numPr>
          <w:ilvl w:val="0"/>
          <w:numId w:val="0"/>
        </w:numPr>
        <w:kinsoku/>
        <w:wordWrap/>
        <w:overflowPunct/>
        <w:topLinePunct w:val="0"/>
        <w:autoSpaceDE/>
        <w:autoSpaceDN/>
        <w:bidi w:val="0"/>
        <w:snapToGrid/>
        <w:spacing w:line="360" w:lineRule="auto"/>
        <w:ind w:left="632" w:leftChars="0"/>
        <w:jc w:val="both"/>
        <w:textAlignment w:val="auto"/>
        <w:rPr>
          <w:b w:val="0"/>
          <w:color w:val="auto"/>
          <w:spacing w:val="0"/>
          <w:sz w:val="32"/>
          <w:szCs w:val="32"/>
          <w:highlight w:val="none"/>
        </w:rPr>
      </w:pPr>
      <w:bookmarkStart w:id="275" w:name="_Toc19267"/>
      <w:bookmarkStart w:id="276" w:name="_Toc26324"/>
      <w:bookmarkStart w:id="277" w:name="_Toc15645"/>
      <w:bookmarkStart w:id="278" w:name="_Toc205207108"/>
      <w:bookmarkStart w:id="279" w:name="_Toc3126"/>
      <w:bookmarkStart w:id="280" w:name="_Toc1675801030"/>
      <w:bookmarkStart w:id="281" w:name="_Toc25797"/>
      <w:bookmarkStart w:id="282" w:name="_Toc1465225428"/>
      <w:bookmarkStart w:id="283" w:name="_Toc579136975"/>
      <w:bookmarkStart w:id="284" w:name="_Toc2529"/>
      <w:bookmarkStart w:id="285" w:name="_Toc24634"/>
      <w:bookmarkStart w:id="286" w:name="_Toc27686"/>
      <w:bookmarkStart w:id="287" w:name="_Toc2682"/>
      <w:bookmarkStart w:id="288" w:name="_Toc205363184"/>
      <w:r>
        <w:rPr>
          <w:rFonts w:hint="eastAsia"/>
          <w:color w:val="auto"/>
          <w:spacing w:val="0"/>
          <w:sz w:val="32"/>
          <w:szCs w:val="32"/>
          <w:highlight w:val="none"/>
          <w:lang w:eastAsia="zh-CN"/>
        </w:rPr>
        <w:t>一、</w:t>
      </w:r>
      <w:r>
        <w:rPr>
          <w:color w:val="auto"/>
          <w:spacing w:val="0"/>
          <w:sz w:val="32"/>
          <w:szCs w:val="32"/>
          <w:highlight w:val="none"/>
        </w:rPr>
        <w:t>数字与生态融合，赋能生态保护与价值转化</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303F2D5">
      <w:pPr>
        <w:pStyle w:val="14"/>
        <w:bidi w:val="0"/>
        <w:rPr>
          <w:color w:val="auto"/>
          <w:spacing w:val="0"/>
          <w:sz w:val="30"/>
          <w:szCs w:val="30"/>
          <w:highlight w:val="none"/>
        </w:rPr>
      </w:pPr>
      <w:bookmarkStart w:id="289" w:name="_Toc7633"/>
      <w:bookmarkStart w:id="290" w:name="_Toc669"/>
      <w:bookmarkStart w:id="291" w:name="_Toc205207109"/>
      <w:bookmarkStart w:id="292" w:name="_Toc205363185"/>
      <w:bookmarkStart w:id="293" w:name="_Toc18200"/>
      <w:bookmarkStart w:id="294" w:name="_Toc11629"/>
      <w:bookmarkStart w:id="295" w:name="_Toc27249"/>
      <w:r>
        <w:rPr>
          <w:rFonts w:hint="eastAsia" w:ascii="楷体_GB2312" w:hAnsi="楷体_GB2312" w:eastAsia="楷体_GB2312" w:cs="楷体_GB2312"/>
          <w:b/>
          <w:bCs/>
          <w:spacing w:val="0"/>
          <w:sz w:val="30"/>
          <w:szCs w:val="30"/>
          <w:highlight w:val="none"/>
        </w:rPr>
        <w:t>构建全域智能监测网络，筑牢生态安全防线</w:t>
      </w:r>
      <w:bookmarkEnd w:id="289"/>
      <w:bookmarkEnd w:id="290"/>
      <w:bookmarkEnd w:id="291"/>
      <w:bookmarkEnd w:id="292"/>
      <w:bookmarkEnd w:id="293"/>
      <w:bookmarkEnd w:id="294"/>
      <w:bookmarkEnd w:id="295"/>
      <w:r>
        <w:rPr>
          <w:rFonts w:hint="eastAsia" w:ascii="楷体_GB2312" w:hAnsi="楷体_GB2312" w:eastAsia="楷体_GB2312" w:cs="楷体_GB2312"/>
          <w:b/>
          <w:bCs/>
          <w:spacing w:val="0"/>
          <w:sz w:val="30"/>
          <w:szCs w:val="30"/>
          <w:highlight w:val="none"/>
          <w:lang w:eastAsia="zh-CN"/>
        </w:rPr>
        <w:t>。</w:t>
      </w:r>
      <w:r>
        <w:rPr>
          <w:rFonts w:hint="eastAsia" w:eastAsia="仿宋_GB2312" w:cs="仿宋_GB2312"/>
          <w:b w:val="0"/>
          <w:bCs w:val="0"/>
          <w:color w:val="auto"/>
          <w:spacing w:val="0"/>
          <w:szCs w:val="32"/>
          <w:highlight w:val="none"/>
        </w:rPr>
        <w:t>研究建立全要素生态监测体系，打造崇明智慧环保综合监管平台，健全天空地一体化监测网络。</w:t>
      </w:r>
      <w:r>
        <w:rPr>
          <w:rFonts w:hint="eastAsia"/>
          <w:color w:val="auto"/>
          <w:spacing w:val="0"/>
          <w:sz w:val="30"/>
          <w:szCs w:val="30"/>
          <w:highlight w:val="none"/>
          <w:lang w:val="en-US" w:eastAsia="zh-CN"/>
        </w:rPr>
        <w:t>建立完善野生动植物及其栖息地保护监控网络，加强野生动物栖息地保护管理，开展野生植物资源调查监测评价。</w:t>
      </w:r>
      <w:r>
        <w:rPr>
          <w:color w:val="auto"/>
          <w:spacing w:val="0"/>
          <w:sz w:val="30"/>
          <w:szCs w:val="30"/>
          <w:highlight w:val="none"/>
        </w:rPr>
        <w:t>提升生态感知网络密度，在森林区域安装声纹采集设备，通过AI算法识别鸟类种类和数量，为生物多样性评估提供依据。整合气象、水利、林业等部门数据，构建台风、暴雨等灾害</w:t>
      </w:r>
      <w:r>
        <w:rPr>
          <w:rFonts w:hint="eastAsia"/>
          <w:color w:val="auto"/>
          <w:spacing w:val="0"/>
          <w:sz w:val="30"/>
          <w:szCs w:val="30"/>
          <w:highlight w:val="none"/>
          <w:lang w:val="en-US" w:eastAsia="zh-CN"/>
        </w:rPr>
        <w:t>天气</w:t>
      </w:r>
      <w:r>
        <w:rPr>
          <w:color w:val="auto"/>
          <w:spacing w:val="0"/>
          <w:sz w:val="30"/>
          <w:szCs w:val="30"/>
          <w:highlight w:val="none"/>
        </w:rPr>
        <w:t>的生态影响预测模型。在长江口布设智能浮标，监测水温、盐度及渔业资源活动，</w:t>
      </w:r>
      <w:r>
        <w:rPr>
          <w:rFonts w:hint="eastAsia"/>
          <w:color w:val="auto"/>
          <w:spacing w:val="0"/>
          <w:sz w:val="30"/>
          <w:szCs w:val="30"/>
          <w:highlight w:val="none"/>
          <w:lang w:eastAsia="zh-CN"/>
        </w:rPr>
        <w:t>实现</w:t>
      </w:r>
      <w:r>
        <w:rPr>
          <w:color w:val="auto"/>
          <w:spacing w:val="0"/>
          <w:sz w:val="30"/>
          <w:szCs w:val="30"/>
          <w:highlight w:val="none"/>
        </w:rPr>
        <w:t>数据实时采集。</w:t>
      </w:r>
      <w:r>
        <w:rPr>
          <w:rFonts w:hint="eastAsia"/>
          <w:color w:val="auto"/>
          <w:spacing w:val="0"/>
          <w:highlight w:val="none"/>
        </w:rPr>
        <w:t>围绕生态保护</w:t>
      </w:r>
      <w:r>
        <w:rPr>
          <w:rFonts w:hint="eastAsia"/>
          <w:color w:val="auto"/>
          <w:spacing w:val="0"/>
          <w:highlight w:val="none"/>
          <w:lang w:eastAsia="zh-CN"/>
        </w:rPr>
        <w:t>和</w:t>
      </w:r>
      <w:r>
        <w:rPr>
          <w:rFonts w:hint="eastAsia"/>
          <w:color w:val="auto"/>
          <w:spacing w:val="0"/>
          <w:highlight w:val="none"/>
        </w:rPr>
        <w:t>修复，</w:t>
      </w:r>
      <w:r>
        <w:rPr>
          <w:rFonts w:hint="eastAsia"/>
          <w:color w:val="auto"/>
          <w:spacing w:val="0"/>
          <w:highlight w:val="none"/>
          <w:lang w:eastAsia="zh-CN"/>
        </w:rPr>
        <w:t>强化</w:t>
      </w:r>
      <w:r>
        <w:rPr>
          <w:rFonts w:hint="eastAsia"/>
          <w:color w:val="auto"/>
          <w:spacing w:val="0"/>
          <w:highlight w:val="none"/>
        </w:rPr>
        <w:t>关键技术攻关</w:t>
      </w:r>
      <w:r>
        <w:rPr>
          <w:rFonts w:hint="eastAsia"/>
          <w:color w:val="auto"/>
          <w:spacing w:val="0"/>
          <w:highlight w:val="none"/>
          <w:lang w:eastAsia="zh-CN"/>
        </w:rPr>
        <w:t>和成果</w:t>
      </w:r>
      <w:r>
        <w:rPr>
          <w:rFonts w:hint="eastAsia"/>
          <w:color w:val="auto"/>
          <w:spacing w:val="0"/>
          <w:highlight w:val="none"/>
        </w:rPr>
        <w:t>转化。综合运用遥感影像</w:t>
      </w:r>
      <w:r>
        <w:rPr>
          <w:rFonts w:hint="eastAsia"/>
          <w:color w:val="auto"/>
          <w:spacing w:val="0"/>
          <w:highlight w:val="none"/>
          <w:lang w:eastAsia="zh-CN"/>
        </w:rPr>
        <w:t>、</w:t>
      </w:r>
      <w:r>
        <w:rPr>
          <w:rFonts w:hint="eastAsia"/>
          <w:color w:val="auto"/>
          <w:spacing w:val="0"/>
          <w:highlight w:val="none"/>
        </w:rPr>
        <w:t>无人机等</w:t>
      </w:r>
      <w:r>
        <w:rPr>
          <w:rFonts w:hint="eastAsia"/>
          <w:color w:val="auto"/>
          <w:spacing w:val="0"/>
          <w:highlight w:val="none"/>
          <w:lang w:eastAsia="zh-CN"/>
        </w:rPr>
        <w:t>技术</w:t>
      </w:r>
      <w:r>
        <w:rPr>
          <w:rFonts w:hint="eastAsia"/>
          <w:color w:val="auto"/>
          <w:spacing w:val="0"/>
          <w:highlight w:val="none"/>
        </w:rPr>
        <w:t>，</w:t>
      </w:r>
      <w:r>
        <w:rPr>
          <w:rFonts w:hint="eastAsia"/>
          <w:color w:val="auto"/>
          <w:spacing w:val="0"/>
          <w:highlight w:val="none"/>
          <w:u w:val="none"/>
        </w:rPr>
        <w:t>提高对海塘水闸、互花米草除治等重点区域管控能力。</w:t>
      </w:r>
    </w:p>
    <w:p w14:paraId="37DD743D">
      <w:pPr>
        <w:pStyle w:val="14"/>
        <w:bidi w:val="0"/>
        <w:rPr>
          <w:rFonts w:hint="default"/>
          <w:color w:val="auto"/>
          <w:spacing w:val="0"/>
          <w:sz w:val="30"/>
          <w:szCs w:val="30"/>
          <w:highlight w:val="none"/>
          <w:lang w:val="en-US"/>
        </w:rPr>
      </w:pPr>
      <w:bookmarkStart w:id="296" w:name="_Toc22251"/>
      <w:bookmarkStart w:id="297" w:name="_Toc205363186"/>
      <w:bookmarkStart w:id="298" w:name="_Toc22242"/>
      <w:bookmarkStart w:id="299" w:name="_Toc2755"/>
      <w:bookmarkStart w:id="300" w:name="_Toc205207110"/>
      <w:bookmarkStart w:id="301" w:name="_Toc30744"/>
      <w:bookmarkStart w:id="302" w:name="_Toc15148"/>
      <w:r>
        <w:rPr>
          <w:rFonts w:hint="eastAsia" w:ascii="楷体_GB2312" w:hAnsi="楷体_GB2312" w:eastAsia="楷体_GB2312" w:cs="楷体_GB2312"/>
          <w:b/>
          <w:bCs/>
          <w:spacing w:val="0"/>
          <w:sz w:val="30"/>
          <w:szCs w:val="30"/>
          <w:highlight w:val="none"/>
        </w:rPr>
        <w:t>创新碳中和数字化治理，引领绿色低碳转型</w:t>
      </w:r>
      <w:bookmarkEnd w:id="296"/>
      <w:bookmarkEnd w:id="297"/>
      <w:bookmarkEnd w:id="298"/>
      <w:bookmarkEnd w:id="299"/>
      <w:bookmarkEnd w:id="300"/>
      <w:bookmarkEnd w:id="301"/>
      <w:bookmarkEnd w:id="302"/>
      <w:r>
        <w:rPr>
          <w:rFonts w:hint="eastAsia" w:ascii="楷体_GB2312" w:hAnsi="楷体_GB2312" w:eastAsia="楷体_GB2312" w:cs="楷体_GB2312"/>
          <w:b/>
          <w:bCs/>
          <w:spacing w:val="0"/>
          <w:sz w:val="30"/>
          <w:szCs w:val="30"/>
          <w:highlight w:val="none"/>
          <w:lang w:eastAsia="zh-CN"/>
        </w:rPr>
        <w:t>。</w:t>
      </w:r>
      <w:r>
        <w:rPr>
          <w:rFonts w:hint="eastAsia"/>
          <w:color w:val="auto"/>
          <w:spacing w:val="0"/>
          <w:sz w:val="30"/>
          <w:szCs w:val="30"/>
          <w:highlight w:val="none"/>
        </w:rPr>
        <w:t>在规模以上农业企业推广“碳标签”制度，通过区块链记录化肥使用、农机能耗等数据，</w:t>
      </w:r>
      <w:r>
        <w:rPr>
          <w:rFonts w:hint="eastAsia"/>
          <w:color w:val="auto"/>
          <w:spacing w:val="0"/>
          <w:sz w:val="30"/>
          <w:szCs w:val="30"/>
          <w:highlight w:val="none"/>
          <w:lang w:val="en-US" w:eastAsia="zh-CN"/>
        </w:rPr>
        <w:t>探索</w:t>
      </w:r>
      <w:r>
        <w:rPr>
          <w:rFonts w:hint="eastAsia"/>
          <w:color w:val="auto"/>
          <w:spacing w:val="0"/>
          <w:sz w:val="30"/>
          <w:szCs w:val="30"/>
          <w:highlight w:val="none"/>
        </w:rPr>
        <w:t>构建农产品碳足迹</w:t>
      </w:r>
      <w:r>
        <w:rPr>
          <w:rFonts w:hint="eastAsia"/>
          <w:color w:val="auto"/>
          <w:spacing w:val="0"/>
          <w:sz w:val="30"/>
          <w:szCs w:val="30"/>
          <w:highlight w:val="none"/>
          <w:lang w:val="en-US" w:eastAsia="zh-CN"/>
        </w:rPr>
        <w:t>管理</w:t>
      </w:r>
      <w:r>
        <w:rPr>
          <w:rFonts w:hint="eastAsia"/>
          <w:color w:val="auto"/>
          <w:spacing w:val="0"/>
          <w:sz w:val="30"/>
          <w:szCs w:val="30"/>
          <w:highlight w:val="none"/>
        </w:rPr>
        <w:t>。鼓励重点行业单位安装能耗监测终端，按时采集企业生产的电力等</w:t>
      </w:r>
      <w:r>
        <w:rPr>
          <w:rFonts w:hint="eastAsia"/>
          <w:color w:val="auto"/>
          <w:spacing w:val="0"/>
          <w:sz w:val="30"/>
          <w:szCs w:val="30"/>
          <w:highlight w:val="none"/>
          <w:lang w:val="en-US" w:eastAsia="zh-CN"/>
        </w:rPr>
        <w:t>能</w:t>
      </w:r>
      <w:r>
        <w:rPr>
          <w:rFonts w:hint="eastAsia"/>
          <w:color w:val="auto"/>
          <w:spacing w:val="0"/>
          <w:sz w:val="30"/>
          <w:szCs w:val="30"/>
          <w:highlight w:val="none"/>
        </w:rPr>
        <w:t>耗数据，接入区</w:t>
      </w:r>
      <w:r>
        <w:rPr>
          <w:rFonts w:hint="eastAsia"/>
          <w:color w:val="auto"/>
          <w:spacing w:val="0"/>
          <w:sz w:val="30"/>
          <w:szCs w:val="30"/>
          <w:highlight w:val="none"/>
          <w:lang w:eastAsia="zh-CN"/>
        </w:rPr>
        <w:t>“双碳”</w:t>
      </w:r>
      <w:r>
        <w:rPr>
          <w:rFonts w:hint="eastAsia"/>
          <w:color w:val="auto"/>
          <w:spacing w:val="0"/>
          <w:sz w:val="30"/>
          <w:szCs w:val="30"/>
          <w:highlight w:val="none"/>
        </w:rPr>
        <w:t>智慧管理平台。</w:t>
      </w:r>
      <w:r>
        <w:rPr>
          <w:color w:val="auto"/>
          <w:spacing w:val="0"/>
          <w:sz w:val="30"/>
          <w:szCs w:val="30"/>
          <w:highlight w:val="none"/>
        </w:rPr>
        <w:t>实施公共建筑领域数字化节能改造，对全区重点公共建筑进行能耗数字化诊断，支持分布式能源管理系统应用。</w:t>
      </w:r>
      <w:r>
        <w:rPr>
          <w:rFonts w:hint="eastAsia"/>
          <w:color w:val="auto"/>
          <w:spacing w:val="0"/>
          <w:sz w:val="30"/>
          <w:szCs w:val="30"/>
          <w:highlight w:val="none"/>
        </w:rPr>
        <w:t>通过大数据分析居民出行规律，整合共享单车、新能源公交等资源，提升区域绿色出行比例</w:t>
      </w:r>
      <w:r>
        <w:rPr>
          <w:color w:val="auto"/>
          <w:spacing w:val="0"/>
          <w:sz w:val="30"/>
          <w:szCs w:val="30"/>
          <w:highlight w:val="none"/>
        </w:rPr>
        <w:t>。</w:t>
      </w:r>
    </w:p>
    <w:p w14:paraId="6EC46603">
      <w:pPr>
        <w:pStyle w:val="14"/>
        <w:bidi w:val="0"/>
        <w:rPr>
          <w:rFonts w:hint="default" w:eastAsia="仿宋_GB2312"/>
          <w:color w:val="auto"/>
          <w:spacing w:val="0"/>
          <w:sz w:val="30"/>
          <w:szCs w:val="30"/>
          <w:highlight w:val="none"/>
          <w:lang w:val="en-US" w:eastAsia="zh-CN"/>
        </w:rPr>
      </w:pPr>
      <w:bookmarkStart w:id="303" w:name="_Toc14692"/>
      <w:bookmarkStart w:id="304" w:name="_Toc18088"/>
      <w:bookmarkStart w:id="305" w:name="_Toc363"/>
      <w:bookmarkStart w:id="306" w:name="_Toc205363187"/>
      <w:bookmarkStart w:id="307" w:name="_Toc19899"/>
      <w:bookmarkStart w:id="308" w:name="_Toc205207111"/>
      <w:bookmarkStart w:id="309" w:name="_Toc24610"/>
      <w:r>
        <w:rPr>
          <w:rFonts w:hint="eastAsia" w:ascii="楷体_GB2312" w:hAnsi="楷体_GB2312" w:eastAsia="楷体_GB2312" w:cs="楷体_GB2312"/>
          <w:b/>
          <w:bCs/>
          <w:spacing w:val="0"/>
          <w:sz w:val="30"/>
          <w:szCs w:val="30"/>
          <w:highlight w:val="none"/>
        </w:rPr>
        <w:t>深化区域协同治理，共建长三角生态数字圈</w:t>
      </w:r>
      <w:bookmarkEnd w:id="303"/>
      <w:bookmarkEnd w:id="304"/>
      <w:bookmarkEnd w:id="305"/>
      <w:bookmarkEnd w:id="306"/>
      <w:bookmarkEnd w:id="307"/>
      <w:bookmarkEnd w:id="308"/>
      <w:bookmarkEnd w:id="309"/>
      <w:r>
        <w:rPr>
          <w:rFonts w:hint="eastAsia" w:ascii="楷体_GB2312" w:hAnsi="楷体_GB2312" w:eastAsia="楷体_GB2312" w:cs="楷体_GB2312"/>
          <w:b/>
          <w:bCs/>
          <w:spacing w:val="0"/>
          <w:sz w:val="30"/>
          <w:szCs w:val="30"/>
          <w:highlight w:val="none"/>
          <w:lang w:eastAsia="zh-CN"/>
        </w:rPr>
        <w:t>。</w:t>
      </w:r>
      <w:r>
        <w:rPr>
          <w:rFonts w:hint="eastAsia"/>
          <w:color w:val="auto"/>
          <w:spacing w:val="0"/>
          <w:sz w:val="30"/>
          <w:szCs w:val="30"/>
          <w:highlight w:val="none"/>
          <w:lang w:val="en-US" w:eastAsia="zh-CN"/>
        </w:rPr>
        <w:t>打造长江经济带绿色发展示范，抓好美丽乡村、气候适应型等数字化场景创建。</w:t>
      </w:r>
      <w:r>
        <w:rPr>
          <w:rFonts w:hint="eastAsia"/>
          <w:color w:val="auto"/>
          <w:spacing w:val="0"/>
          <w:sz w:val="30"/>
          <w:szCs w:val="30"/>
          <w:highlight w:val="none"/>
        </w:rPr>
        <w:t>积极与长三角湿地沿线区域开展数字化合作，依托区块链、大数据分析等技术共建湿地生态数据库，搭建共享平台</w:t>
      </w:r>
      <w:r>
        <w:rPr>
          <w:rFonts w:hint="eastAsia"/>
          <w:color w:val="auto"/>
          <w:spacing w:val="0"/>
          <w:sz w:val="30"/>
          <w:szCs w:val="30"/>
          <w:highlight w:val="none"/>
          <w:lang w:eastAsia="zh-CN"/>
        </w:rPr>
        <w:t>，</w:t>
      </w:r>
      <w:r>
        <w:rPr>
          <w:rFonts w:hint="eastAsia"/>
          <w:color w:val="auto"/>
          <w:spacing w:val="0"/>
          <w:sz w:val="30"/>
          <w:szCs w:val="30"/>
          <w:highlight w:val="none"/>
        </w:rPr>
        <w:t>展示并实时共享候鸟迁徙轨迹、湿地修复技术等信息，完善跨区域数据共享机制，助力湿地生态协同治理。同时，对污染联防联治系统进行数字化升级，提升数据采集自动化水平，构建数据存储与处理中心，建立共享门户并保障数据安全，</w:t>
      </w:r>
      <w:r>
        <w:rPr>
          <w:rFonts w:hint="eastAsia"/>
          <w:color w:val="auto"/>
          <w:spacing w:val="0"/>
          <w:sz w:val="30"/>
          <w:szCs w:val="30"/>
          <w:highlight w:val="none"/>
          <w:lang w:eastAsia="zh-CN"/>
        </w:rPr>
        <w:t>并</w:t>
      </w:r>
      <w:r>
        <w:rPr>
          <w:rFonts w:hint="eastAsia"/>
          <w:color w:val="auto"/>
          <w:spacing w:val="0"/>
          <w:sz w:val="30"/>
          <w:szCs w:val="30"/>
          <w:highlight w:val="none"/>
        </w:rPr>
        <w:t>基于实时共享的数据开展跨区域联合执法与协同治理行动，让数字化成为推动区域生态协同治理、提升生态环境质量的关键力量。</w:t>
      </w:r>
    </w:p>
    <w:p w14:paraId="48C70F97">
      <w:pPr>
        <w:pStyle w:val="4"/>
        <w:keepNext w:val="0"/>
        <w:keepLines w:val="0"/>
        <w:pageBreakBefore w:val="0"/>
        <w:widowControl w:val="0"/>
        <w:numPr>
          <w:ilvl w:val="0"/>
          <w:numId w:val="0"/>
        </w:numPr>
        <w:kinsoku/>
        <w:wordWrap/>
        <w:overflowPunct/>
        <w:topLinePunct w:val="0"/>
        <w:autoSpaceDE/>
        <w:autoSpaceDN/>
        <w:bidi w:val="0"/>
        <w:snapToGrid/>
        <w:spacing w:line="560" w:lineRule="exact"/>
        <w:ind w:left="632" w:leftChars="0"/>
        <w:jc w:val="both"/>
        <w:textAlignment w:val="auto"/>
        <w:rPr>
          <w:rFonts w:hint="eastAsia"/>
          <w:b w:val="0"/>
          <w:color w:val="auto"/>
          <w:spacing w:val="0"/>
          <w:sz w:val="32"/>
          <w:szCs w:val="32"/>
          <w:highlight w:val="none"/>
        </w:rPr>
      </w:pPr>
      <w:bookmarkStart w:id="310" w:name="_Toc1269625663"/>
      <w:bookmarkStart w:id="311" w:name="_Toc16478"/>
      <w:bookmarkStart w:id="312" w:name="_Toc667147420"/>
      <w:bookmarkStart w:id="313" w:name="_Toc13583"/>
      <w:bookmarkStart w:id="314" w:name="_Toc1172835159"/>
      <w:bookmarkStart w:id="315" w:name="_Toc205207112"/>
      <w:bookmarkStart w:id="316" w:name="_Toc27149"/>
      <w:bookmarkStart w:id="317" w:name="_Toc205363188"/>
      <w:bookmarkStart w:id="318" w:name="_Toc1977"/>
      <w:bookmarkStart w:id="319" w:name="_Toc6159"/>
      <w:bookmarkStart w:id="320" w:name="_Toc12637"/>
      <w:bookmarkStart w:id="321" w:name="_Toc69"/>
      <w:bookmarkStart w:id="322" w:name="_Toc24299"/>
      <w:bookmarkStart w:id="323" w:name="_Toc5596"/>
      <w:r>
        <w:rPr>
          <w:rFonts w:hint="eastAsia"/>
          <w:color w:val="auto"/>
          <w:spacing w:val="0"/>
          <w:sz w:val="32"/>
          <w:szCs w:val="32"/>
          <w:highlight w:val="none"/>
          <w:lang w:eastAsia="zh-CN"/>
        </w:rPr>
        <w:t>二、</w:t>
      </w:r>
      <w:r>
        <w:rPr>
          <w:color w:val="auto"/>
          <w:spacing w:val="0"/>
          <w:sz w:val="32"/>
          <w:szCs w:val="32"/>
          <w:highlight w:val="none"/>
        </w:rPr>
        <w:t>数字与产业融合，驱动产业升级</w:t>
      </w:r>
      <w:r>
        <w:rPr>
          <w:rFonts w:hint="eastAsia"/>
          <w:color w:val="auto"/>
          <w:spacing w:val="0"/>
          <w:sz w:val="32"/>
          <w:szCs w:val="32"/>
          <w:highlight w:val="none"/>
          <w:lang w:val="en-US" w:eastAsia="zh-CN"/>
        </w:rPr>
        <w:t>与</w:t>
      </w:r>
      <w:bookmarkEnd w:id="310"/>
      <w:bookmarkEnd w:id="311"/>
      <w:bookmarkEnd w:id="312"/>
      <w:bookmarkEnd w:id="313"/>
      <w:bookmarkEnd w:id="314"/>
      <w:bookmarkEnd w:id="315"/>
      <w:bookmarkEnd w:id="316"/>
      <w:bookmarkEnd w:id="317"/>
      <w:bookmarkEnd w:id="318"/>
      <w:bookmarkEnd w:id="319"/>
      <w:bookmarkEnd w:id="320"/>
      <w:r>
        <w:rPr>
          <w:color w:val="auto"/>
          <w:spacing w:val="0"/>
          <w:sz w:val="32"/>
          <w:szCs w:val="32"/>
          <w:highlight w:val="none"/>
        </w:rPr>
        <w:t>特色</w:t>
      </w:r>
      <w:r>
        <w:rPr>
          <w:rFonts w:hint="eastAsia"/>
          <w:color w:val="auto"/>
          <w:spacing w:val="0"/>
          <w:sz w:val="32"/>
          <w:szCs w:val="32"/>
          <w:highlight w:val="none"/>
          <w:lang w:val="en-US" w:eastAsia="zh-CN"/>
        </w:rPr>
        <w:t>提质</w:t>
      </w:r>
      <w:bookmarkEnd w:id="321"/>
      <w:bookmarkEnd w:id="322"/>
      <w:bookmarkEnd w:id="323"/>
    </w:p>
    <w:p w14:paraId="0F778CB0">
      <w:pPr>
        <w:pStyle w:val="14"/>
        <w:bidi w:val="0"/>
        <w:rPr>
          <w:rFonts w:hint="default" w:eastAsia="仿宋_GB2312"/>
          <w:color w:val="auto"/>
          <w:spacing w:val="0"/>
          <w:sz w:val="30"/>
          <w:szCs w:val="30"/>
          <w:highlight w:val="none"/>
          <w:lang w:val="en-US" w:eastAsia="zh-CN"/>
        </w:rPr>
      </w:pPr>
      <w:bookmarkStart w:id="324" w:name="_Toc205363189"/>
      <w:bookmarkStart w:id="325" w:name="_Toc29350"/>
      <w:bookmarkStart w:id="326" w:name="_Toc205207113"/>
      <w:bookmarkStart w:id="327" w:name="_Toc17775"/>
      <w:bookmarkStart w:id="328" w:name="_Toc12131"/>
      <w:bookmarkStart w:id="329" w:name="_Toc14336"/>
      <w:bookmarkStart w:id="330" w:name="_Toc1950"/>
      <w:r>
        <w:rPr>
          <w:rFonts w:hint="eastAsia" w:ascii="楷体_GB2312" w:hAnsi="楷体_GB2312" w:eastAsia="楷体_GB2312" w:cs="楷体_GB2312"/>
          <w:b/>
          <w:bCs/>
          <w:spacing w:val="0"/>
          <w:sz w:val="30"/>
          <w:szCs w:val="30"/>
          <w:highlight w:val="none"/>
        </w:rPr>
        <w:t>数字农业提质，构建智慧农业新范式</w:t>
      </w:r>
      <w:bookmarkEnd w:id="324"/>
      <w:bookmarkEnd w:id="325"/>
      <w:bookmarkEnd w:id="326"/>
      <w:bookmarkEnd w:id="327"/>
      <w:bookmarkEnd w:id="328"/>
      <w:bookmarkEnd w:id="329"/>
      <w:bookmarkEnd w:id="330"/>
      <w:r>
        <w:rPr>
          <w:rFonts w:hint="eastAsia" w:ascii="楷体_GB2312" w:hAnsi="楷体_GB2312" w:eastAsia="楷体_GB2312" w:cs="楷体_GB2312"/>
          <w:b/>
          <w:bCs/>
          <w:spacing w:val="0"/>
          <w:sz w:val="30"/>
          <w:szCs w:val="30"/>
          <w:highlight w:val="none"/>
          <w:lang w:eastAsia="zh-CN"/>
        </w:rPr>
        <w:t>。</w:t>
      </w:r>
      <w:r>
        <w:rPr>
          <w:color w:val="auto"/>
          <w:spacing w:val="0"/>
          <w:sz w:val="30"/>
          <w:szCs w:val="30"/>
          <w:highlight w:val="none"/>
        </w:rPr>
        <w:t>以“一图观三农、一网管全程、一库汇所有”为核心目标，深度推进数字技术与农业农村发展的全方位融合。推动</w:t>
      </w:r>
      <w:r>
        <w:rPr>
          <w:rStyle w:val="35"/>
          <w:spacing w:val="0"/>
          <w:highlight w:val="none"/>
        </w:rPr>
        <w:t>长三角农业硅谷智能化升级，实施</w:t>
      </w:r>
      <w:r>
        <w:rPr>
          <w:color w:val="auto"/>
          <w:spacing w:val="0"/>
          <w:sz w:val="30"/>
          <w:szCs w:val="30"/>
          <w:highlight w:val="none"/>
        </w:rPr>
        <w:t>农业硅谷总部园、农业科创企业孵化园等载体智能化改造。</w:t>
      </w:r>
      <w:r>
        <w:rPr>
          <w:rFonts w:hint="eastAsia"/>
          <w:color w:val="auto"/>
          <w:spacing w:val="0"/>
          <w:sz w:val="30"/>
          <w:szCs w:val="30"/>
          <w:highlight w:val="none"/>
          <w:lang w:val="en-US" w:eastAsia="zh-CN"/>
        </w:rPr>
        <w:t>加快构建“两平台五中心”服务架构，实现科研设备、实验数据与技术成果的云端共享</w:t>
      </w:r>
      <w:r>
        <w:rPr>
          <w:color w:val="auto"/>
          <w:spacing w:val="0"/>
          <w:sz w:val="30"/>
          <w:szCs w:val="30"/>
          <w:highlight w:val="none"/>
        </w:rPr>
        <w:t>。</w:t>
      </w:r>
      <w:r>
        <w:rPr>
          <w:rFonts w:hint="eastAsia"/>
          <w:color w:val="auto"/>
          <w:spacing w:val="0"/>
          <w:sz w:val="30"/>
          <w:szCs w:val="30"/>
          <w:highlight w:val="none"/>
          <w:lang w:val="en-US" w:eastAsia="zh-CN"/>
        </w:rPr>
        <w:t>依托大数据技术汇聚种源研发、环境监测、市场交易全链条数据，为种源农业、生物农业提供算力和算法支撑。</w:t>
      </w:r>
      <w:r>
        <w:rPr>
          <w:color w:val="auto"/>
          <w:spacing w:val="0"/>
          <w:sz w:val="30"/>
          <w:szCs w:val="30"/>
          <w:highlight w:val="none"/>
        </w:rPr>
        <w:t>建立长江流域特色种质资源数据库，全面推动</w:t>
      </w:r>
      <w:r>
        <w:rPr>
          <w:rStyle w:val="35"/>
          <w:spacing w:val="0"/>
          <w:highlight w:val="none"/>
        </w:rPr>
        <w:t>数字种业创新发展</w:t>
      </w:r>
      <w:r>
        <w:rPr>
          <w:color w:val="auto"/>
          <w:spacing w:val="0"/>
          <w:sz w:val="30"/>
          <w:szCs w:val="30"/>
          <w:highlight w:val="none"/>
        </w:rPr>
        <w:t>，</w:t>
      </w:r>
      <w:r>
        <w:rPr>
          <w:rFonts w:hint="eastAsia"/>
          <w:color w:val="auto"/>
          <w:spacing w:val="0"/>
          <w:sz w:val="30"/>
          <w:szCs w:val="30"/>
          <w:highlight w:val="none"/>
          <w:lang w:val="en-US" w:eastAsia="zh-CN"/>
        </w:rPr>
        <w:t>利用AI技术对中华绒螯蟹</w:t>
      </w:r>
      <w:r>
        <w:rPr>
          <w:color w:val="auto"/>
          <w:spacing w:val="0"/>
          <w:sz w:val="30"/>
          <w:szCs w:val="30"/>
          <w:highlight w:val="none"/>
        </w:rPr>
        <w:t>、白山羊</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沙乌头猪</w:t>
      </w:r>
      <w:r>
        <w:rPr>
          <w:color w:val="auto"/>
          <w:spacing w:val="0"/>
          <w:sz w:val="30"/>
          <w:szCs w:val="30"/>
          <w:highlight w:val="none"/>
        </w:rPr>
        <w:t>等</w:t>
      </w:r>
      <w:r>
        <w:rPr>
          <w:rFonts w:hint="eastAsia"/>
          <w:color w:val="auto"/>
          <w:spacing w:val="0"/>
          <w:sz w:val="30"/>
          <w:szCs w:val="30"/>
          <w:highlight w:val="none"/>
          <w:lang w:val="en-US" w:eastAsia="zh-CN"/>
        </w:rPr>
        <w:t>崇明</w:t>
      </w:r>
      <w:r>
        <w:rPr>
          <w:color w:val="auto"/>
          <w:spacing w:val="0"/>
          <w:sz w:val="30"/>
          <w:szCs w:val="30"/>
          <w:highlight w:val="none"/>
        </w:rPr>
        <w:t>特色品种建立基因数字档案</w:t>
      </w:r>
      <w:r>
        <w:rPr>
          <w:rFonts w:hint="eastAsia"/>
          <w:color w:val="auto"/>
          <w:spacing w:val="0"/>
          <w:sz w:val="30"/>
          <w:szCs w:val="30"/>
          <w:highlight w:val="none"/>
          <w:lang w:val="en-US" w:eastAsia="zh-CN"/>
        </w:rPr>
        <w:t>与性状预测</w:t>
      </w:r>
      <w:r>
        <w:rPr>
          <w:color w:val="auto"/>
          <w:spacing w:val="0"/>
          <w:sz w:val="30"/>
          <w:szCs w:val="30"/>
          <w:highlight w:val="none"/>
        </w:rPr>
        <w:t>，</w:t>
      </w:r>
      <w:r>
        <w:rPr>
          <w:rFonts w:hint="eastAsia"/>
          <w:color w:val="auto"/>
          <w:spacing w:val="0"/>
          <w:sz w:val="30"/>
          <w:szCs w:val="30"/>
          <w:highlight w:val="none"/>
          <w:lang w:val="en-US" w:eastAsia="zh-CN"/>
        </w:rPr>
        <w:t>辅助光明河蟹产业研究院及核心种猪繁育体系开展数字化育种，缩短育种周期，提升良种选育效率</w:t>
      </w:r>
      <w:r>
        <w:rPr>
          <w:color w:val="auto"/>
          <w:spacing w:val="0"/>
          <w:sz w:val="30"/>
          <w:szCs w:val="30"/>
          <w:highlight w:val="none"/>
        </w:rPr>
        <w:t>。</w:t>
      </w:r>
      <w:r>
        <w:rPr>
          <w:rFonts w:hint="eastAsia"/>
          <w:color w:val="auto"/>
          <w:spacing w:val="0"/>
          <w:sz w:val="30"/>
          <w:szCs w:val="30"/>
          <w:highlight w:val="none"/>
          <w:lang w:val="en-US" w:eastAsia="zh-CN"/>
        </w:rPr>
        <w:t>强化农机数智转型，开展蔬菜“机器换人”示范推广。深化人工智能、大数据、大模型在无人农场、现代化育供秧中心等农业领域的深度运用。拓展低空经济农业领域应用范围，力争现代设施装备和生产效率达到全市领先水平。</w:t>
      </w:r>
      <w:r>
        <w:rPr>
          <w:rStyle w:val="35"/>
          <w:spacing w:val="0"/>
          <w:highlight w:val="none"/>
        </w:rPr>
        <w:t>推广智慧农业示范，着力</w:t>
      </w:r>
      <w:r>
        <w:rPr>
          <w:color w:val="auto"/>
          <w:spacing w:val="0"/>
          <w:sz w:val="30"/>
          <w:szCs w:val="30"/>
          <w:highlight w:val="none"/>
        </w:rPr>
        <w:t>打造一批技术领先、场景丰富、效益显著的智慧农业示范基地。</w:t>
      </w:r>
      <w:r>
        <w:rPr>
          <w:rFonts w:hint="eastAsia"/>
          <w:color w:val="auto"/>
          <w:spacing w:val="0"/>
          <w:sz w:val="30"/>
          <w:szCs w:val="30"/>
          <w:highlight w:val="none"/>
          <w:lang w:val="en-US" w:eastAsia="zh-CN"/>
        </w:rPr>
        <w:t>擦亮“崇明鲜品”金字招牌，构建全链路数字化供应链体系。</w:t>
      </w:r>
      <w:r>
        <w:rPr>
          <w:rFonts w:hint="eastAsia"/>
          <w:color w:val="auto"/>
          <w:spacing w:val="0"/>
          <w:sz w:val="30"/>
          <w:szCs w:val="30"/>
          <w:highlight w:val="none"/>
        </w:rPr>
        <w:t>深化区域品牌数字化运营</w:t>
      </w:r>
      <w:r>
        <w:rPr>
          <w:rFonts w:hint="eastAsia"/>
          <w:color w:val="auto"/>
          <w:spacing w:val="0"/>
          <w:sz w:val="30"/>
          <w:szCs w:val="30"/>
          <w:highlight w:val="none"/>
          <w:lang w:eastAsia="zh-CN"/>
        </w:rPr>
        <w:t>，</w:t>
      </w:r>
      <w:r>
        <w:rPr>
          <w:rFonts w:hint="eastAsia"/>
          <w:spacing w:val="0"/>
          <w:highlight w:val="none"/>
        </w:rPr>
        <w:t>完善“优农三兄弟”区域公共品牌经营能力和“崇明＋”农产品地理标志价值应用机制，持续推广“崇明鲜品”线上平台，发挥米业集团等产业联合体优势，擦亮崇明大米等一批金字招牌</w:t>
      </w:r>
      <w:r>
        <w:rPr>
          <w:rFonts w:hint="eastAsia"/>
          <w:spacing w:val="0"/>
          <w:highlight w:val="none"/>
          <w:lang w:eastAsia="zh-CN"/>
        </w:rPr>
        <w:t>。</w:t>
      </w:r>
    </w:p>
    <w:p w14:paraId="5C00782C">
      <w:pPr>
        <w:pStyle w:val="14"/>
        <w:bidi w:val="0"/>
        <w:rPr>
          <w:rFonts w:hint="eastAsia"/>
          <w:color w:val="auto"/>
          <w:spacing w:val="0"/>
          <w:sz w:val="30"/>
          <w:szCs w:val="30"/>
          <w:highlight w:val="none"/>
          <w:lang w:val="en-US" w:eastAsia="zh-CN"/>
        </w:rPr>
      </w:pPr>
      <w:bookmarkStart w:id="331" w:name="_Toc205207114"/>
      <w:bookmarkStart w:id="332" w:name="_Toc14533"/>
      <w:bookmarkStart w:id="333" w:name="_Toc30593"/>
      <w:bookmarkStart w:id="334" w:name="_Toc205363190"/>
      <w:bookmarkStart w:id="335" w:name="_Toc29859"/>
      <w:bookmarkStart w:id="336" w:name="_Toc28546"/>
      <w:bookmarkStart w:id="337" w:name="_Toc23579"/>
      <w:r>
        <w:rPr>
          <w:rFonts w:hint="eastAsia" w:ascii="楷体_GB2312" w:hAnsi="楷体_GB2312" w:eastAsia="楷体_GB2312" w:cs="楷体_GB2312"/>
          <w:b/>
          <w:bCs/>
          <w:spacing w:val="0"/>
          <w:sz w:val="30"/>
          <w:szCs w:val="30"/>
          <w:highlight w:val="none"/>
        </w:rPr>
        <w:t>海洋经济突破，打造数智海洋产业集群</w:t>
      </w:r>
      <w:bookmarkEnd w:id="331"/>
      <w:bookmarkEnd w:id="332"/>
      <w:bookmarkEnd w:id="333"/>
      <w:bookmarkEnd w:id="334"/>
      <w:bookmarkEnd w:id="335"/>
      <w:bookmarkEnd w:id="336"/>
      <w:bookmarkEnd w:id="337"/>
      <w:r>
        <w:rPr>
          <w:rFonts w:hint="eastAsia" w:ascii="楷体_GB2312" w:hAnsi="楷体_GB2312" w:eastAsia="楷体_GB2312" w:cs="楷体_GB2312"/>
          <w:b/>
          <w:bCs/>
          <w:spacing w:val="0"/>
          <w:sz w:val="30"/>
          <w:szCs w:val="30"/>
          <w:highlight w:val="none"/>
          <w:lang w:eastAsia="zh-CN"/>
        </w:rPr>
        <w:t>。</w:t>
      </w:r>
      <w:r>
        <w:rPr>
          <w:rFonts w:hint="eastAsia"/>
          <w:color w:val="auto"/>
          <w:spacing w:val="0"/>
          <w:sz w:val="30"/>
          <w:szCs w:val="30"/>
          <w:highlight w:val="none"/>
          <w:lang w:val="en-US" w:eastAsia="zh-CN"/>
        </w:rPr>
        <w:t>加快</w:t>
      </w:r>
      <w:r>
        <w:rPr>
          <w:color w:val="auto"/>
          <w:spacing w:val="0"/>
          <w:sz w:val="30"/>
          <w:szCs w:val="30"/>
          <w:highlight w:val="none"/>
        </w:rPr>
        <w:t>船海产业“智改数转”，推进江南造船、沪东中华等龙头企业智能化改造，建设智能工厂、数字车间，推动5G、AI大模型、区块链等技术在船舶设计、制造、运维全流程的深度拓展和融合应用，</w:t>
      </w:r>
      <w:r>
        <w:rPr>
          <w:rStyle w:val="35"/>
          <w:rFonts w:hint="eastAsia"/>
          <w:spacing w:val="0"/>
          <w:highlight w:val="none"/>
        </w:rPr>
        <w:t>推进船舶全三维数字化智能设计平台、复杂系统数字孪生体系研发应用，建设数字智能工厂</w:t>
      </w:r>
      <w:r>
        <w:rPr>
          <w:rStyle w:val="35"/>
          <w:rFonts w:hint="eastAsia"/>
          <w:spacing w:val="0"/>
          <w:highlight w:val="none"/>
          <w:lang w:eastAsia="zh-CN"/>
        </w:rPr>
        <w:t>。</w:t>
      </w:r>
      <w:r>
        <w:rPr>
          <w:rFonts w:hint="eastAsia"/>
          <w:color w:val="auto"/>
          <w:spacing w:val="0"/>
          <w:sz w:val="30"/>
          <w:szCs w:val="30"/>
          <w:highlight w:val="none"/>
          <w:lang w:val="en-US" w:eastAsia="zh-CN"/>
        </w:rPr>
        <w:t>加快建立数字技术与船舶产业深度融合的应用机制，</w:t>
      </w:r>
    </w:p>
    <w:p w14:paraId="2D06587E">
      <w:pPr>
        <w:pStyle w:val="14"/>
        <w:bidi w:val="0"/>
        <w:rPr>
          <w:rFonts w:hint="eastAsia" w:ascii="楷体_GB2312" w:hAnsi="楷体_GB2312" w:eastAsia="楷体_GB2312" w:cs="楷体_GB2312"/>
          <w:b/>
          <w:bCs/>
          <w:spacing w:val="0"/>
          <w:sz w:val="30"/>
          <w:szCs w:val="30"/>
          <w:highlight w:val="none"/>
        </w:rPr>
      </w:pPr>
      <w:r>
        <w:rPr>
          <w:rFonts w:hint="eastAsia"/>
          <w:color w:val="auto"/>
          <w:spacing w:val="0"/>
          <w:sz w:val="30"/>
          <w:szCs w:val="30"/>
          <w:highlight w:val="none"/>
          <w:lang w:val="en-US" w:eastAsia="zh-CN"/>
        </w:rPr>
        <w:t>支持企业构建全流程数字化体系。</w:t>
      </w:r>
      <w:r>
        <w:rPr>
          <w:rStyle w:val="35"/>
          <w:spacing w:val="0"/>
          <w:highlight w:val="none"/>
        </w:rPr>
        <w:t>构建以海洋数字服务业为核心的现代海洋服务体系，</w:t>
      </w:r>
      <w:r>
        <w:rPr>
          <w:color w:val="auto"/>
          <w:spacing w:val="0"/>
          <w:sz w:val="30"/>
          <w:szCs w:val="30"/>
          <w:highlight w:val="none"/>
        </w:rPr>
        <w:t>整合长三角区域海洋观测、气象及地质数据，构建高能级综合数据库，为涉海研发设计、灾害预警及资源开发提供数据支撑，推动海洋数据跨域共享与应用创新。培育涉海研发设计海洋技术服务业，依托上海交大长兴科技成果转化中心，推动船舶数字孪生制造等核心技术转化，加速智能创新产品产业化</w:t>
      </w:r>
      <w:r>
        <w:rPr>
          <w:rFonts w:hint="eastAsia"/>
          <w:color w:val="auto"/>
          <w:spacing w:val="0"/>
          <w:sz w:val="30"/>
          <w:szCs w:val="30"/>
          <w:highlight w:val="none"/>
          <w:lang w:eastAsia="zh-CN"/>
        </w:rPr>
        <w:t>。</w:t>
      </w:r>
      <w:r>
        <w:rPr>
          <w:color w:val="auto"/>
          <w:spacing w:val="0"/>
          <w:sz w:val="30"/>
          <w:szCs w:val="30"/>
          <w:highlight w:val="none"/>
        </w:rPr>
        <w:t>发展</w:t>
      </w:r>
      <w:r>
        <w:rPr>
          <w:rFonts w:hint="eastAsia"/>
          <w:color w:val="auto"/>
          <w:spacing w:val="0"/>
          <w:sz w:val="30"/>
          <w:szCs w:val="30"/>
          <w:highlight w:val="none"/>
          <w:lang w:eastAsia="zh-CN"/>
        </w:rPr>
        <w:t>具有</w:t>
      </w:r>
      <w:r>
        <w:rPr>
          <w:color w:val="auto"/>
          <w:spacing w:val="0"/>
          <w:sz w:val="30"/>
          <w:szCs w:val="30"/>
          <w:highlight w:val="none"/>
        </w:rPr>
        <w:t>检验检测认证</w:t>
      </w:r>
      <w:r>
        <w:rPr>
          <w:rFonts w:hint="eastAsia"/>
          <w:color w:val="auto"/>
          <w:spacing w:val="0"/>
          <w:sz w:val="30"/>
          <w:szCs w:val="30"/>
          <w:highlight w:val="none"/>
          <w:lang w:eastAsia="zh-CN"/>
        </w:rPr>
        <w:t>的</w:t>
      </w:r>
      <w:r>
        <w:rPr>
          <w:color w:val="auto"/>
          <w:spacing w:val="0"/>
          <w:sz w:val="30"/>
          <w:szCs w:val="30"/>
          <w:highlight w:val="none"/>
        </w:rPr>
        <w:t>海洋技术服务业，</w:t>
      </w:r>
      <w:r>
        <w:rPr>
          <w:rFonts w:hint="eastAsia"/>
          <w:color w:val="auto"/>
          <w:spacing w:val="0"/>
          <w:sz w:val="30"/>
          <w:szCs w:val="30"/>
          <w:highlight w:val="none"/>
          <w:lang w:val="en-US" w:eastAsia="zh-CN"/>
        </w:rPr>
        <w:t>推动</w:t>
      </w:r>
      <w:r>
        <w:rPr>
          <w:color w:val="auto"/>
          <w:spacing w:val="0"/>
          <w:sz w:val="30"/>
          <w:szCs w:val="30"/>
          <w:highlight w:val="none"/>
        </w:rPr>
        <w:t>船舶认证数字化，结合物联网与机器视觉技术提升检测效率，推动长三角区域检测标准互认</w:t>
      </w:r>
      <w:r>
        <w:rPr>
          <w:rFonts w:hint="eastAsia"/>
          <w:color w:val="auto"/>
          <w:spacing w:val="0"/>
          <w:sz w:val="30"/>
          <w:szCs w:val="30"/>
          <w:highlight w:val="none"/>
          <w:lang w:eastAsia="zh-CN"/>
        </w:rPr>
        <w:t>。</w:t>
      </w:r>
      <w:r>
        <w:rPr>
          <w:color w:val="auto"/>
          <w:spacing w:val="0"/>
          <w:sz w:val="30"/>
          <w:szCs w:val="30"/>
          <w:highlight w:val="none"/>
        </w:rPr>
        <w:t>拓展知识产权服务海洋技术服务业，建立海洋技术专利池，通过专利池整合技术资源、数据资产</w:t>
      </w:r>
      <w:r>
        <w:rPr>
          <w:rFonts w:hint="eastAsia"/>
          <w:color w:val="auto"/>
          <w:spacing w:val="0"/>
          <w:sz w:val="30"/>
          <w:szCs w:val="30"/>
          <w:highlight w:val="none"/>
          <w:lang w:eastAsia="zh-CN"/>
        </w:rPr>
        <w:t>，</w:t>
      </w:r>
      <w:r>
        <w:rPr>
          <w:color w:val="auto"/>
          <w:spacing w:val="0"/>
          <w:sz w:val="30"/>
          <w:szCs w:val="30"/>
          <w:highlight w:val="none"/>
        </w:rPr>
        <w:t>激活要素价值</w:t>
      </w:r>
      <w:r>
        <w:rPr>
          <w:rFonts w:hint="eastAsia"/>
          <w:color w:val="auto"/>
          <w:spacing w:val="0"/>
          <w:sz w:val="30"/>
          <w:szCs w:val="30"/>
          <w:highlight w:val="none"/>
          <w:lang w:eastAsia="zh-CN"/>
        </w:rPr>
        <w:t>，</w:t>
      </w:r>
      <w:r>
        <w:rPr>
          <w:color w:val="auto"/>
          <w:spacing w:val="0"/>
          <w:sz w:val="30"/>
          <w:szCs w:val="30"/>
          <w:highlight w:val="none"/>
        </w:rPr>
        <w:t>贯通创新链条，推动海洋产业向知识产权密集型升级。</w:t>
      </w:r>
      <w:bookmarkStart w:id="338" w:name="_Toc8900"/>
      <w:bookmarkStart w:id="339" w:name="_Toc19158"/>
      <w:bookmarkStart w:id="340" w:name="_Toc31272"/>
      <w:bookmarkStart w:id="341" w:name="_Toc205363191"/>
      <w:bookmarkStart w:id="342" w:name="_Toc205207115"/>
      <w:bookmarkStart w:id="343" w:name="_Toc23807"/>
      <w:bookmarkStart w:id="344" w:name="_Toc13677"/>
    </w:p>
    <w:p w14:paraId="2CAA2FDD">
      <w:pPr>
        <w:pStyle w:val="14"/>
        <w:bidi w:val="0"/>
        <w:rPr>
          <w:color w:val="auto"/>
          <w:spacing w:val="0"/>
          <w:sz w:val="30"/>
          <w:szCs w:val="30"/>
          <w:highlight w:val="none"/>
        </w:rPr>
      </w:pPr>
      <w:r>
        <w:rPr>
          <w:rFonts w:hint="eastAsia" w:ascii="楷体_GB2312" w:hAnsi="楷体_GB2312" w:eastAsia="楷体_GB2312" w:cs="楷体_GB2312"/>
          <w:b/>
          <w:bCs/>
          <w:spacing w:val="0"/>
          <w:sz w:val="30"/>
          <w:szCs w:val="30"/>
          <w:highlight w:val="none"/>
        </w:rPr>
        <w:t>数字文旅融合，培育文旅消费新业态</w:t>
      </w:r>
      <w:bookmarkEnd w:id="338"/>
      <w:bookmarkEnd w:id="339"/>
      <w:bookmarkEnd w:id="340"/>
      <w:bookmarkEnd w:id="341"/>
      <w:bookmarkEnd w:id="342"/>
      <w:bookmarkEnd w:id="343"/>
      <w:bookmarkEnd w:id="344"/>
      <w:r>
        <w:rPr>
          <w:rFonts w:hint="eastAsia" w:ascii="楷体_GB2312" w:hAnsi="楷体_GB2312" w:eastAsia="楷体_GB2312" w:cs="楷体_GB2312"/>
          <w:b/>
          <w:bCs/>
          <w:spacing w:val="0"/>
          <w:sz w:val="30"/>
          <w:szCs w:val="30"/>
          <w:highlight w:val="none"/>
          <w:lang w:eastAsia="zh-CN"/>
        </w:rPr>
        <w:t>。</w:t>
      </w:r>
      <w:r>
        <w:rPr>
          <w:rStyle w:val="35"/>
          <w:spacing w:val="0"/>
          <w:highlight w:val="none"/>
        </w:rPr>
        <w:t>推动</w:t>
      </w:r>
      <w:r>
        <w:rPr>
          <w:color w:val="auto"/>
          <w:spacing w:val="0"/>
          <w:sz w:val="30"/>
          <w:szCs w:val="30"/>
          <w:highlight w:val="none"/>
        </w:rPr>
        <w:t>五大文旅片区</w:t>
      </w:r>
      <w:r>
        <w:rPr>
          <w:rStyle w:val="35"/>
          <w:spacing w:val="0"/>
          <w:highlight w:val="none"/>
        </w:rPr>
        <w:t>资源数字化整合</w:t>
      </w:r>
      <w:r>
        <w:rPr>
          <w:color w:val="auto"/>
          <w:spacing w:val="0"/>
          <w:sz w:val="30"/>
          <w:szCs w:val="30"/>
          <w:highlight w:val="none"/>
        </w:rPr>
        <w:t>，</w:t>
      </w:r>
      <w:r>
        <w:rPr>
          <w:rFonts w:hint="eastAsia"/>
          <w:color w:val="auto"/>
          <w:spacing w:val="0"/>
          <w:sz w:val="30"/>
          <w:szCs w:val="30"/>
          <w:highlight w:val="none"/>
          <w:lang w:val="en-US" w:eastAsia="zh-CN"/>
        </w:rPr>
        <w:t>推动</w:t>
      </w:r>
      <w:r>
        <w:rPr>
          <w:color w:val="auto"/>
          <w:spacing w:val="0"/>
          <w:sz w:val="30"/>
          <w:szCs w:val="30"/>
          <w:highlight w:val="none"/>
        </w:rPr>
        <w:t>AR/VR虚拟旅游、数字孪生景区等新业态，提升旅游体验感，逐步实现主要景区数字孪生全覆盖。</w:t>
      </w:r>
      <w:r>
        <w:rPr>
          <w:rStyle w:val="35"/>
          <w:spacing w:val="0"/>
          <w:highlight w:val="none"/>
        </w:rPr>
        <w:t>推进文旅品牌数字化升级，推动</w:t>
      </w:r>
      <w:r>
        <w:rPr>
          <w:color w:val="auto"/>
          <w:spacing w:val="0"/>
          <w:sz w:val="30"/>
          <w:szCs w:val="30"/>
          <w:highlight w:val="none"/>
        </w:rPr>
        <w:t>“悠哉崇明”品牌数字化升级，</w:t>
      </w:r>
      <w:r>
        <w:rPr>
          <w:rFonts w:hint="eastAsia"/>
          <w:color w:val="auto"/>
          <w:spacing w:val="0"/>
          <w:sz w:val="30"/>
          <w:szCs w:val="30"/>
          <w:highlight w:val="none"/>
          <w:lang w:eastAsia="zh-CN"/>
        </w:rPr>
        <w:t>加强</w:t>
      </w:r>
      <w:r>
        <w:rPr>
          <w:rFonts w:hint="eastAsia"/>
          <w:color w:val="auto"/>
          <w:spacing w:val="0"/>
          <w:sz w:val="30"/>
          <w:szCs w:val="30"/>
          <w:highlight w:val="none"/>
          <w:lang w:val="en-US" w:eastAsia="zh-CN"/>
        </w:rPr>
        <w:t>品牌运营管理能力。</w:t>
      </w:r>
      <w:r>
        <w:rPr>
          <w:color w:val="auto"/>
          <w:spacing w:val="0"/>
          <w:sz w:val="30"/>
          <w:szCs w:val="30"/>
          <w:highlight w:val="none"/>
        </w:rPr>
        <w:t>利用短视频、直播等新媒体手段，策划“云游崇明”“数字花朝节”等线上活动，扩大文旅品牌影响力。</w:t>
      </w:r>
      <w:r>
        <w:rPr>
          <w:rFonts w:hint="eastAsia"/>
          <w:color w:val="auto"/>
          <w:spacing w:val="0"/>
          <w:sz w:val="30"/>
          <w:szCs w:val="30"/>
          <w:highlight w:val="none"/>
          <w:lang w:val="en-US" w:eastAsia="zh-CN"/>
        </w:rPr>
        <w:t>进一步依托</w:t>
      </w:r>
      <w:r>
        <w:rPr>
          <w:color w:val="auto"/>
          <w:spacing w:val="0"/>
          <w:sz w:val="30"/>
          <w:szCs w:val="30"/>
          <w:highlight w:val="none"/>
        </w:rPr>
        <w:t>文旅消费大数据，分析游客消费行为和偏好，精准推送个性化旅游产品和服务。推动东平国家森林公园、西沙明珠湖景区等重点景区智慧化改造，完善智能票务、导览、安防等系统</w:t>
      </w:r>
      <w:r>
        <w:rPr>
          <w:rFonts w:hint="eastAsia"/>
          <w:color w:val="auto"/>
          <w:spacing w:val="0"/>
          <w:sz w:val="30"/>
          <w:szCs w:val="30"/>
          <w:highlight w:val="none"/>
          <w:lang w:eastAsia="zh-CN"/>
        </w:rPr>
        <w:t>建设</w:t>
      </w:r>
      <w:r>
        <w:rPr>
          <w:color w:val="auto"/>
          <w:spacing w:val="0"/>
          <w:sz w:val="30"/>
          <w:szCs w:val="30"/>
          <w:highlight w:val="none"/>
        </w:rPr>
        <w:t>。发展数字文创产业，支持农耕与非遗文化数字化转化，</w:t>
      </w:r>
      <w:r>
        <w:rPr>
          <w:rFonts w:hint="eastAsia"/>
          <w:color w:val="auto"/>
          <w:spacing w:val="0"/>
          <w:sz w:val="30"/>
          <w:szCs w:val="30"/>
          <w:highlight w:val="none"/>
          <w:lang w:val="en-US" w:eastAsia="zh-CN"/>
        </w:rPr>
        <w:t>丰富景区二次消费项目，鼓励影视演艺与文旅产业结合发展，积极开发IP联名文创产品。</w:t>
      </w:r>
      <w:r>
        <w:rPr>
          <w:color w:val="auto"/>
          <w:spacing w:val="0"/>
          <w:sz w:val="30"/>
          <w:szCs w:val="30"/>
          <w:highlight w:val="none"/>
        </w:rPr>
        <w:t>开发崇明特色数字文创产品，推动文化</w:t>
      </w:r>
      <w:r>
        <w:rPr>
          <w:rFonts w:hint="eastAsia"/>
          <w:color w:val="auto"/>
          <w:spacing w:val="0"/>
          <w:sz w:val="30"/>
          <w:szCs w:val="30"/>
          <w:highlight w:val="none"/>
          <w:lang w:val="en-US" w:eastAsia="zh-CN"/>
        </w:rPr>
        <w:t>特色</w:t>
      </w:r>
      <w:r>
        <w:rPr>
          <w:color w:val="auto"/>
          <w:spacing w:val="0"/>
          <w:sz w:val="30"/>
          <w:szCs w:val="30"/>
          <w:highlight w:val="none"/>
        </w:rPr>
        <w:t>IP商业化运营</w:t>
      </w:r>
      <w:r>
        <w:rPr>
          <w:rFonts w:hint="eastAsia"/>
          <w:color w:val="auto"/>
          <w:spacing w:val="0"/>
          <w:sz w:val="30"/>
          <w:szCs w:val="30"/>
          <w:highlight w:val="none"/>
          <w:lang w:eastAsia="zh-CN"/>
        </w:rPr>
        <w:t>，</w:t>
      </w:r>
      <w:r>
        <w:rPr>
          <w:color w:val="auto"/>
          <w:spacing w:val="0"/>
          <w:sz w:val="30"/>
          <w:szCs w:val="30"/>
          <w:highlight w:val="none"/>
        </w:rPr>
        <w:t>培育“乡村会客+商文农旅体沉浸+好物品鉴”的夜间融合消费新模式，提升文旅产业综合效益。</w:t>
      </w:r>
    </w:p>
    <w:p w14:paraId="1581F063">
      <w:pPr>
        <w:pStyle w:val="4"/>
        <w:keepNext w:val="0"/>
        <w:keepLines w:val="0"/>
        <w:pageBreakBefore w:val="0"/>
        <w:widowControl w:val="0"/>
        <w:numPr>
          <w:ilvl w:val="0"/>
          <w:numId w:val="0"/>
        </w:numPr>
        <w:kinsoku/>
        <w:wordWrap/>
        <w:overflowPunct/>
        <w:topLinePunct w:val="0"/>
        <w:autoSpaceDE/>
        <w:autoSpaceDN/>
        <w:bidi w:val="0"/>
        <w:snapToGrid/>
        <w:spacing w:line="560" w:lineRule="exact"/>
        <w:ind w:left="632" w:leftChars="0"/>
        <w:jc w:val="both"/>
        <w:textAlignment w:val="auto"/>
        <w:rPr>
          <w:b w:val="0"/>
          <w:color w:val="auto"/>
          <w:spacing w:val="0"/>
          <w:sz w:val="32"/>
          <w:szCs w:val="32"/>
          <w:highlight w:val="none"/>
        </w:rPr>
      </w:pPr>
      <w:bookmarkStart w:id="345" w:name="_Toc12322"/>
      <w:bookmarkStart w:id="346" w:name="_Toc205207116"/>
      <w:bookmarkStart w:id="347" w:name="_Toc21099"/>
      <w:bookmarkStart w:id="348" w:name="_Toc392704988"/>
      <w:bookmarkStart w:id="349" w:name="_Toc1180200109"/>
      <w:bookmarkStart w:id="350" w:name="_Toc4948"/>
      <w:bookmarkStart w:id="351" w:name="_Toc27312"/>
      <w:bookmarkStart w:id="352" w:name="_Toc13655"/>
      <w:bookmarkStart w:id="353" w:name="_Toc226977217"/>
      <w:bookmarkStart w:id="354" w:name="_Toc4861"/>
      <w:bookmarkStart w:id="355" w:name="_Toc205363192"/>
      <w:bookmarkStart w:id="356" w:name="_Toc28932"/>
      <w:bookmarkStart w:id="357" w:name="_Toc10483"/>
      <w:bookmarkStart w:id="358" w:name="_Toc1318"/>
      <w:r>
        <w:rPr>
          <w:rFonts w:hint="eastAsia"/>
          <w:color w:val="auto"/>
          <w:spacing w:val="0"/>
          <w:sz w:val="32"/>
          <w:szCs w:val="32"/>
          <w:highlight w:val="none"/>
          <w:lang w:eastAsia="zh-CN"/>
        </w:rPr>
        <w:t>三、</w:t>
      </w:r>
      <w:r>
        <w:rPr>
          <w:color w:val="auto"/>
          <w:spacing w:val="0"/>
          <w:sz w:val="32"/>
          <w:szCs w:val="32"/>
          <w:highlight w:val="none"/>
        </w:rPr>
        <w:t>数字与社会融合，提升民生服务与治理</w:t>
      </w:r>
      <w:bookmarkEnd w:id="345"/>
      <w:bookmarkEnd w:id="346"/>
      <w:bookmarkEnd w:id="347"/>
      <w:bookmarkEnd w:id="348"/>
      <w:bookmarkEnd w:id="349"/>
      <w:bookmarkEnd w:id="350"/>
      <w:bookmarkEnd w:id="351"/>
      <w:bookmarkEnd w:id="352"/>
      <w:bookmarkEnd w:id="353"/>
      <w:bookmarkEnd w:id="354"/>
      <w:bookmarkEnd w:id="355"/>
      <w:r>
        <w:rPr>
          <w:rFonts w:hint="eastAsia"/>
          <w:color w:val="auto"/>
          <w:spacing w:val="0"/>
          <w:sz w:val="32"/>
          <w:szCs w:val="32"/>
          <w:highlight w:val="none"/>
          <w:lang w:val="en-US" w:eastAsia="zh-CN"/>
        </w:rPr>
        <w:t>增效</w:t>
      </w:r>
      <w:bookmarkEnd w:id="356"/>
      <w:bookmarkEnd w:id="357"/>
      <w:bookmarkEnd w:id="358"/>
    </w:p>
    <w:p w14:paraId="0EF6A1C0">
      <w:pPr>
        <w:keepNext w:val="0"/>
        <w:keepLines w:val="0"/>
        <w:pageBreakBefore w:val="0"/>
        <w:widowControl w:val="0"/>
        <w:kinsoku/>
        <w:wordWrap/>
        <w:overflowPunct/>
        <w:topLinePunct w:val="0"/>
        <w:autoSpaceDE/>
        <w:autoSpaceDN/>
        <w:bidi w:val="0"/>
        <w:snapToGrid/>
        <w:spacing w:line="560" w:lineRule="exact"/>
        <w:ind w:firstLine="592" w:firstLineChars="200"/>
        <w:jc w:val="both"/>
        <w:textAlignment w:val="auto"/>
        <w:rPr>
          <w:color w:val="auto"/>
          <w:spacing w:val="0"/>
          <w:sz w:val="30"/>
          <w:szCs w:val="30"/>
          <w:highlight w:val="none"/>
        </w:rPr>
      </w:pPr>
      <w:bookmarkStart w:id="359" w:name="_Toc26192"/>
      <w:bookmarkStart w:id="360" w:name="_Toc22844"/>
      <w:r>
        <w:rPr>
          <w:rFonts w:hint="eastAsia" w:ascii="楷体_GB2312" w:hAnsi="楷体_GB2312" w:eastAsia="楷体_GB2312" w:cs="楷体_GB2312"/>
          <w:b/>
          <w:bCs/>
          <w:color w:val="auto"/>
          <w:spacing w:val="0"/>
          <w:sz w:val="30"/>
          <w:szCs w:val="30"/>
          <w:highlight w:val="none"/>
        </w:rPr>
        <w:t>“一网通办”服务再提质，打造政务服务新范式</w:t>
      </w:r>
      <w:bookmarkEnd w:id="359"/>
      <w:bookmarkEnd w:id="360"/>
      <w:r>
        <w:rPr>
          <w:rFonts w:hint="eastAsia" w:ascii="楷体_GB2312" w:hAnsi="楷体_GB2312" w:eastAsia="楷体_GB2312" w:cs="楷体_GB2312"/>
          <w:b/>
          <w:bCs/>
          <w:color w:val="auto"/>
          <w:spacing w:val="0"/>
          <w:sz w:val="30"/>
          <w:szCs w:val="30"/>
          <w:highlight w:val="none"/>
          <w:lang w:eastAsia="zh-CN"/>
        </w:rPr>
        <w:t>。</w:t>
      </w:r>
      <w:r>
        <w:rPr>
          <w:color w:val="auto"/>
          <w:spacing w:val="0"/>
          <w:sz w:val="30"/>
          <w:szCs w:val="30"/>
          <w:highlight w:val="none"/>
        </w:rPr>
        <w:t>以“生态特色、全域通办、智能高效”为导向，推动政务服务从“能办”向“好办、快办”升级，彰显生态岛服务温度。立足</w:t>
      </w:r>
      <w:r>
        <w:rPr>
          <w:rFonts w:hint="eastAsia"/>
          <w:color w:val="auto"/>
          <w:spacing w:val="0"/>
          <w:sz w:val="30"/>
          <w:szCs w:val="30"/>
          <w:highlight w:val="none"/>
          <w:lang w:val="en-US" w:eastAsia="zh-CN"/>
        </w:rPr>
        <w:t>企业和群众实际需求</w:t>
      </w:r>
      <w:r>
        <w:rPr>
          <w:color w:val="auto"/>
          <w:spacing w:val="0"/>
          <w:sz w:val="30"/>
          <w:szCs w:val="30"/>
          <w:highlight w:val="none"/>
        </w:rPr>
        <w:t>，</w:t>
      </w:r>
      <w:r>
        <w:rPr>
          <w:rFonts w:hint="eastAsia"/>
          <w:color w:val="auto"/>
          <w:spacing w:val="0"/>
          <w:sz w:val="30"/>
          <w:szCs w:val="30"/>
          <w:highlight w:val="none"/>
          <w:lang w:val="en-US" w:eastAsia="zh-CN"/>
        </w:rPr>
        <w:t>推动</w:t>
      </w:r>
      <w:r>
        <w:rPr>
          <w:color w:val="auto"/>
          <w:spacing w:val="0"/>
          <w:sz w:val="30"/>
          <w:szCs w:val="30"/>
          <w:highlight w:val="none"/>
        </w:rPr>
        <w:t>“随申办”崇明旗舰店</w:t>
      </w:r>
      <w:r>
        <w:rPr>
          <w:rFonts w:hint="eastAsia"/>
          <w:color w:val="auto"/>
          <w:spacing w:val="0"/>
          <w:sz w:val="30"/>
          <w:szCs w:val="30"/>
          <w:highlight w:val="none"/>
          <w:lang w:val="en-US" w:eastAsia="zh-CN"/>
        </w:rPr>
        <w:t>内容供给和服务上新，</w:t>
      </w:r>
      <w:r>
        <w:rPr>
          <w:color w:val="auto"/>
          <w:spacing w:val="0"/>
          <w:sz w:val="30"/>
          <w:szCs w:val="30"/>
          <w:highlight w:val="none"/>
        </w:rPr>
        <w:t>实现“一码通查”。针对新型农业经营主体，推出“绿色审批通道”，压缩种源基地建设、生态农庄审批等事项办理时限，助力长三角农业硅谷建设。拓展“免申即享”服务范围，通过数据共享自动匹配生态补贴、惠农政策，惠及农户及企业。提升跨区域通办能级，深化“崇启海”长三角协同机制，新增社保、医保、不动产等高频服务“跨省通办”，实现“异地受理、属地审批、快递送达”</w:t>
      </w:r>
      <w:r>
        <w:rPr>
          <w:rFonts w:hint="eastAsia"/>
          <w:color w:val="auto"/>
          <w:spacing w:val="0"/>
          <w:sz w:val="30"/>
          <w:szCs w:val="30"/>
          <w:highlight w:val="none"/>
          <w:lang w:eastAsia="zh-CN"/>
        </w:rPr>
        <w:t>。</w:t>
      </w:r>
    </w:p>
    <w:p w14:paraId="42D45A00">
      <w:pPr>
        <w:keepNext w:val="0"/>
        <w:keepLines w:val="0"/>
        <w:pageBreakBefore w:val="0"/>
        <w:widowControl w:val="0"/>
        <w:kinsoku/>
        <w:wordWrap/>
        <w:overflowPunct/>
        <w:topLinePunct w:val="0"/>
        <w:autoSpaceDE/>
        <w:autoSpaceDN/>
        <w:bidi w:val="0"/>
        <w:snapToGrid/>
        <w:spacing w:line="560" w:lineRule="exact"/>
        <w:ind w:firstLine="592" w:firstLineChars="200"/>
        <w:jc w:val="both"/>
        <w:textAlignment w:val="auto"/>
        <w:rPr>
          <w:color w:val="auto"/>
          <w:spacing w:val="0"/>
          <w:sz w:val="32"/>
          <w:szCs w:val="32"/>
          <w:highlight w:val="none"/>
        </w:rPr>
      </w:pPr>
      <w:bookmarkStart w:id="361" w:name="_Toc8486"/>
      <w:bookmarkStart w:id="362" w:name="_Toc17565"/>
      <w:r>
        <w:rPr>
          <w:rFonts w:hint="eastAsia" w:ascii="楷体_GB2312" w:hAnsi="楷体_GB2312" w:eastAsia="楷体_GB2312" w:cs="楷体_GB2312"/>
          <w:b/>
          <w:bCs/>
          <w:color w:val="auto"/>
          <w:spacing w:val="0"/>
          <w:sz w:val="30"/>
          <w:szCs w:val="30"/>
          <w:highlight w:val="none"/>
        </w:rPr>
        <w:t>“一网统管”效能大跃升，树立生态治理新标杆</w:t>
      </w:r>
      <w:bookmarkEnd w:id="361"/>
      <w:bookmarkEnd w:id="362"/>
      <w:r>
        <w:rPr>
          <w:rFonts w:hint="eastAsia" w:ascii="楷体_GB2312" w:hAnsi="楷体_GB2312" w:eastAsia="楷体_GB2312" w:cs="楷体_GB2312"/>
          <w:b/>
          <w:bCs/>
          <w:color w:val="auto"/>
          <w:spacing w:val="0"/>
          <w:sz w:val="30"/>
          <w:szCs w:val="30"/>
          <w:highlight w:val="none"/>
          <w:lang w:eastAsia="zh-CN"/>
        </w:rPr>
        <w:t>。</w:t>
      </w:r>
      <w:r>
        <w:rPr>
          <w:color w:val="auto"/>
          <w:spacing w:val="0"/>
          <w:sz w:val="32"/>
          <w:szCs w:val="32"/>
          <w:highlight w:val="none"/>
        </w:rPr>
        <w:t>立足崇明世界级生态岛定位，以“全域感知、智能协同、精准治理”为目标，构建覆盖生态保护、城市运行、应急响应的一体化治理体系。</w:t>
      </w:r>
      <w:r>
        <w:rPr>
          <w:rFonts w:hint="eastAsia" w:ascii="仿宋_GB2312" w:hAnsi="仿宋_GB2312" w:eastAsia="仿宋_GB2312" w:cs="仿宋_GB2312"/>
          <w:color w:val="auto"/>
          <w:spacing w:val="0"/>
          <w:sz w:val="32"/>
          <w:szCs w:val="32"/>
          <w:highlight w:val="none"/>
        </w:rPr>
        <w:t>深化跨域协同治理机制，优化区级“一网统管”平台，横向联通生态环境、农业农村、交通管控等部门业务系统，纵向打通18个乡镇及重点区域，建立“日常模式、应急模式和专项模式”三大运行机制。</w:t>
      </w:r>
      <w:r>
        <w:rPr>
          <w:rFonts w:hint="eastAsia" w:ascii="仿宋_GB2312" w:hAnsi="仿宋_GB2312" w:eastAsia="仿宋_GB2312" w:cs="仿宋_GB2312"/>
          <w:color w:val="auto"/>
          <w:spacing w:val="0"/>
          <w:sz w:val="32"/>
          <w:szCs w:val="32"/>
          <w:highlight w:val="none"/>
          <w:lang w:val="en-US" w:eastAsia="zh-CN"/>
        </w:rPr>
        <w:t>汇聚全区视频监控，将社会重点视频监控</w:t>
      </w:r>
      <w:r>
        <w:rPr>
          <w:rFonts w:hint="eastAsia" w:cs="仿宋_GB2312"/>
          <w:color w:val="auto"/>
          <w:spacing w:val="0"/>
          <w:sz w:val="32"/>
          <w:szCs w:val="32"/>
          <w:highlight w:val="none"/>
          <w:lang w:val="en-US" w:eastAsia="zh-CN"/>
        </w:rPr>
        <w:t>接入区视频共享平台</w:t>
      </w:r>
      <w:r>
        <w:rPr>
          <w:rFonts w:hint="eastAsia" w:ascii="仿宋_GB2312" w:hAnsi="仿宋_GB2312" w:eastAsia="仿宋_GB2312" w:cs="仿宋_GB2312"/>
          <w:color w:val="auto"/>
          <w:spacing w:val="0"/>
          <w:sz w:val="32"/>
          <w:szCs w:val="32"/>
          <w:highlight w:val="none"/>
          <w:lang w:val="en-US" w:eastAsia="zh-CN"/>
        </w:rPr>
        <w:t>。</w:t>
      </w:r>
      <w:r>
        <w:rPr>
          <w:rFonts w:hint="eastAsia"/>
          <w:color w:val="auto"/>
          <w:spacing w:val="0"/>
          <w:sz w:val="32"/>
          <w:szCs w:val="32"/>
          <w:highlight w:val="none"/>
          <w:lang w:val="en-US" w:eastAsia="zh-CN"/>
        </w:rPr>
        <w:t>持续建设</w:t>
      </w:r>
      <w:r>
        <w:rPr>
          <w:rFonts w:hint="eastAsia" w:ascii="仿宋_GB2312" w:hAnsi="仿宋" w:eastAsia="仿宋_GB2312"/>
          <w:color w:val="auto"/>
          <w:spacing w:val="0"/>
          <w:sz w:val="32"/>
          <w:szCs w:val="32"/>
          <w:highlight w:val="none"/>
          <w:lang w:eastAsia="zh-CN"/>
        </w:rPr>
        <w:t>崇明区城运中心无人机管理中台项目</w:t>
      </w:r>
      <w:r>
        <w:rPr>
          <w:rFonts w:hint="eastAsia" w:hAnsi="仿宋"/>
          <w:color w:val="auto"/>
          <w:spacing w:val="0"/>
          <w:sz w:val="32"/>
          <w:szCs w:val="32"/>
          <w:highlight w:val="none"/>
          <w:lang w:eastAsia="zh-CN"/>
        </w:rPr>
        <w:t>，</w:t>
      </w:r>
      <w:r>
        <w:rPr>
          <w:rFonts w:hint="eastAsia" w:hAnsi="仿宋"/>
          <w:color w:val="auto"/>
          <w:spacing w:val="0"/>
          <w:sz w:val="32"/>
          <w:szCs w:val="32"/>
          <w:highlight w:val="none"/>
          <w:lang w:val="en-US" w:eastAsia="zh-CN"/>
        </w:rPr>
        <w:t>综合运用遥感影像、无人机等技术等预警手段，提高对海塘水闸、互花米草除治等重点区域管控能力。</w:t>
      </w:r>
      <w:r>
        <w:rPr>
          <w:color w:val="auto"/>
          <w:spacing w:val="0"/>
          <w:sz w:val="32"/>
          <w:szCs w:val="32"/>
          <w:highlight w:val="none"/>
        </w:rPr>
        <w:t>创新“AI+人工”协同处置模式，针对高频问题，开发智能派单、自动跟踪、效果评估闭环流程，推动处置效率提升。以城桥、陈家镇为试点</w:t>
      </w:r>
      <w:r>
        <w:rPr>
          <w:rFonts w:hint="eastAsia"/>
          <w:color w:val="auto"/>
          <w:spacing w:val="0"/>
          <w:sz w:val="32"/>
          <w:szCs w:val="32"/>
          <w:highlight w:val="none"/>
          <w:lang w:eastAsia="zh-CN"/>
        </w:rPr>
        <w:t>区域</w:t>
      </w:r>
      <w:r>
        <w:rPr>
          <w:color w:val="auto"/>
          <w:spacing w:val="0"/>
          <w:sz w:val="32"/>
          <w:szCs w:val="32"/>
          <w:highlight w:val="none"/>
        </w:rPr>
        <w:t>，建设城市数字孪生基座，叠加生态、交通、民生等多维数据，模拟人口流动、环境变化等趋势。在城市运行领域，模拟极端天气对交通、供水的影响，优化应急资源配置，实现重点区域数字孪生全覆盖。</w:t>
      </w:r>
    </w:p>
    <w:p w14:paraId="40EC15EA">
      <w:pPr>
        <w:keepNext w:val="0"/>
        <w:keepLines w:val="0"/>
        <w:pageBreakBefore w:val="0"/>
        <w:widowControl w:val="0"/>
        <w:kinsoku/>
        <w:wordWrap/>
        <w:overflowPunct/>
        <w:topLinePunct w:val="0"/>
        <w:autoSpaceDE/>
        <w:autoSpaceDN/>
        <w:bidi w:val="0"/>
        <w:snapToGrid/>
        <w:spacing w:line="560" w:lineRule="exact"/>
        <w:ind w:firstLine="592" w:firstLineChars="200"/>
        <w:jc w:val="both"/>
        <w:textAlignment w:val="auto"/>
        <w:rPr>
          <w:rFonts w:hint="eastAsia"/>
          <w:color w:val="auto"/>
          <w:spacing w:val="0"/>
          <w:sz w:val="32"/>
          <w:szCs w:val="32"/>
          <w:highlight w:val="none"/>
          <w:lang w:val="en-US" w:eastAsia="zh-CN"/>
        </w:rPr>
      </w:pPr>
      <w:bookmarkStart w:id="363" w:name="_Toc5487"/>
      <w:bookmarkStart w:id="364" w:name="_Toc3846"/>
      <w:r>
        <w:rPr>
          <w:rFonts w:hint="eastAsia" w:ascii="楷体_GB2312" w:hAnsi="楷体_GB2312" w:eastAsia="楷体_GB2312" w:cs="楷体_GB2312"/>
          <w:b/>
          <w:bCs/>
          <w:color w:val="auto"/>
          <w:spacing w:val="0"/>
          <w:sz w:val="30"/>
          <w:szCs w:val="30"/>
          <w:highlight w:val="none"/>
          <w:lang w:val="en-US" w:eastAsia="zh-CN"/>
        </w:rPr>
        <w:t>“一网协同”运行深融合，激发政务办公新效能</w:t>
      </w:r>
      <w:bookmarkEnd w:id="363"/>
      <w:bookmarkEnd w:id="364"/>
      <w:bookmarkStart w:id="365" w:name="_Toc21930"/>
      <w:r>
        <w:rPr>
          <w:rFonts w:hint="eastAsia" w:ascii="楷体_GB2312" w:hAnsi="楷体_GB2312" w:eastAsia="楷体_GB2312" w:cs="楷体_GB2312"/>
          <w:b/>
          <w:bCs/>
          <w:color w:val="auto"/>
          <w:spacing w:val="0"/>
          <w:sz w:val="30"/>
          <w:szCs w:val="30"/>
          <w:highlight w:val="none"/>
          <w:lang w:val="en-US" w:eastAsia="zh-CN"/>
        </w:rPr>
        <w:t>。</w:t>
      </w:r>
      <w:r>
        <w:rPr>
          <w:rFonts w:hint="eastAsia"/>
          <w:color w:val="auto"/>
          <w:spacing w:val="0"/>
          <w:sz w:val="32"/>
          <w:szCs w:val="32"/>
          <w:highlight w:val="none"/>
          <w:lang w:val="en-US" w:eastAsia="zh-CN"/>
        </w:rPr>
        <w:t>聚焦政府内部数字化转型，构建跨层级、跨部门、跨业务的协同办公体系，推动行政效能整体跃升。基于AI大模型构建智能公文中枢，实现公文全生命周期自动化管理，压缩跨部门联合发文时长。打造崇明个性办公功能，建立“任务－督办”闭环机制，提高办公效能。支持政务领域人工智能应用，通过数字赋能减轻基层负担。</w:t>
      </w:r>
      <w:bookmarkEnd w:id="365"/>
    </w:p>
    <w:p w14:paraId="5CF15581">
      <w:pPr>
        <w:keepNext w:val="0"/>
        <w:keepLines w:val="0"/>
        <w:pageBreakBefore w:val="0"/>
        <w:widowControl w:val="0"/>
        <w:kinsoku/>
        <w:wordWrap/>
        <w:overflowPunct/>
        <w:topLinePunct w:val="0"/>
        <w:autoSpaceDE/>
        <w:autoSpaceDN/>
        <w:bidi w:val="0"/>
        <w:snapToGrid/>
        <w:spacing w:line="560" w:lineRule="exact"/>
        <w:ind w:left="0" w:leftChars="0" w:firstLine="592" w:firstLineChars="200"/>
        <w:jc w:val="both"/>
        <w:textAlignment w:val="auto"/>
        <w:rPr>
          <w:rFonts w:hint="eastAsia"/>
          <w:color w:val="auto"/>
          <w:spacing w:val="0"/>
          <w:sz w:val="30"/>
          <w:szCs w:val="30"/>
          <w:highlight w:val="none"/>
        </w:rPr>
      </w:pPr>
      <w:bookmarkStart w:id="366" w:name="_Toc17399"/>
      <w:bookmarkStart w:id="367" w:name="_Toc11083"/>
      <w:r>
        <w:rPr>
          <w:rFonts w:hint="eastAsia" w:ascii="楷体_GB2312" w:hAnsi="楷体_GB2312" w:eastAsia="楷体_GB2312" w:cs="楷体_GB2312"/>
          <w:b/>
          <w:bCs/>
          <w:color w:val="auto"/>
          <w:spacing w:val="0"/>
          <w:sz w:val="30"/>
          <w:szCs w:val="30"/>
          <w:highlight w:val="none"/>
          <w:lang w:val="en-US" w:eastAsia="zh-CN"/>
        </w:rPr>
        <w:t>赋能</w:t>
      </w:r>
      <w:r>
        <w:rPr>
          <w:rFonts w:hint="eastAsia" w:ascii="楷体_GB2312" w:hAnsi="楷体_GB2312" w:eastAsia="楷体_GB2312" w:cs="楷体_GB2312"/>
          <w:b/>
          <w:bCs/>
          <w:color w:val="auto"/>
          <w:spacing w:val="0"/>
          <w:sz w:val="30"/>
          <w:szCs w:val="30"/>
          <w:highlight w:val="none"/>
        </w:rPr>
        <w:t>医养教</w:t>
      </w:r>
      <w:r>
        <w:rPr>
          <w:rFonts w:hint="eastAsia" w:ascii="楷体_GB2312" w:hAnsi="楷体_GB2312" w:eastAsia="楷体_GB2312" w:cs="楷体_GB2312"/>
          <w:b/>
          <w:bCs/>
          <w:color w:val="auto"/>
          <w:spacing w:val="0"/>
          <w:sz w:val="30"/>
          <w:szCs w:val="30"/>
          <w:highlight w:val="none"/>
          <w:lang w:val="en-US" w:eastAsia="zh-CN"/>
        </w:rPr>
        <w:t>守护安康</w:t>
      </w:r>
      <w:r>
        <w:rPr>
          <w:rFonts w:hint="eastAsia" w:ascii="楷体_GB2312" w:hAnsi="楷体_GB2312" w:eastAsia="楷体_GB2312" w:cs="楷体_GB2312"/>
          <w:b/>
          <w:bCs/>
          <w:color w:val="auto"/>
          <w:spacing w:val="0"/>
          <w:sz w:val="30"/>
          <w:szCs w:val="30"/>
          <w:highlight w:val="none"/>
        </w:rPr>
        <w:t>，构建数字民生新生态</w:t>
      </w:r>
      <w:bookmarkEnd w:id="366"/>
      <w:bookmarkEnd w:id="367"/>
      <w:r>
        <w:rPr>
          <w:rFonts w:hint="eastAsia" w:ascii="楷体_GB2312" w:hAnsi="楷体_GB2312" w:eastAsia="楷体_GB2312" w:cs="楷体_GB2312"/>
          <w:b/>
          <w:bCs/>
          <w:color w:val="auto"/>
          <w:spacing w:val="0"/>
          <w:sz w:val="30"/>
          <w:szCs w:val="30"/>
          <w:highlight w:val="none"/>
          <w:lang w:eastAsia="zh-CN"/>
        </w:rPr>
        <w:t>。</w:t>
      </w:r>
      <w:r>
        <w:rPr>
          <w:rFonts w:hint="eastAsia"/>
          <w:color w:val="auto"/>
          <w:spacing w:val="0"/>
          <w:sz w:val="30"/>
          <w:szCs w:val="30"/>
          <w:highlight w:val="none"/>
          <w:lang w:eastAsia="zh-CN"/>
        </w:rPr>
        <w:t>通过</w:t>
      </w:r>
      <w:r>
        <w:rPr>
          <w:rFonts w:hint="eastAsia"/>
          <w:color w:val="auto"/>
          <w:spacing w:val="0"/>
          <w:sz w:val="30"/>
          <w:szCs w:val="30"/>
          <w:highlight w:val="none"/>
        </w:rPr>
        <w:t>融合医疗、养老、教育数字化服务，建设覆盖全生命周期的民生保障体系。以新华医院为枢纽建立区域医疗中心，在乡镇卫生服务中心部署智能终端实现心电图等远程检查；</w:t>
      </w:r>
      <w:r>
        <w:rPr>
          <w:rFonts w:hint="eastAsia"/>
          <w:color w:val="auto"/>
          <w:spacing w:val="0"/>
          <w:sz w:val="30"/>
          <w:szCs w:val="30"/>
          <w:highlight w:val="none"/>
          <w:lang w:val="en-US" w:eastAsia="zh-CN"/>
        </w:rPr>
        <w:t>协同</w:t>
      </w:r>
      <w:r>
        <w:rPr>
          <w:rFonts w:hint="eastAsia"/>
          <w:color w:val="auto"/>
          <w:spacing w:val="0"/>
          <w:sz w:val="30"/>
          <w:szCs w:val="30"/>
          <w:highlight w:val="none"/>
        </w:rPr>
        <w:t>慢性病AI管理模型，通过“智能手环+云平台”实时</w:t>
      </w:r>
      <w:r>
        <w:rPr>
          <w:rFonts w:hint="eastAsia"/>
          <w:color w:val="auto"/>
          <w:spacing w:val="0"/>
          <w:sz w:val="30"/>
          <w:szCs w:val="30"/>
          <w:highlight w:val="none"/>
          <w:lang w:val="en-US" w:eastAsia="zh-CN"/>
        </w:rPr>
        <w:t>监测</w:t>
      </w:r>
      <w:r>
        <w:rPr>
          <w:rFonts w:hint="eastAsia"/>
          <w:color w:val="auto"/>
          <w:spacing w:val="0"/>
          <w:sz w:val="30"/>
          <w:szCs w:val="30"/>
          <w:highlight w:val="none"/>
        </w:rPr>
        <w:t>患者</w:t>
      </w:r>
      <w:r>
        <w:rPr>
          <w:rFonts w:hint="eastAsia"/>
          <w:color w:val="auto"/>
          <w:spacing w:val="0"/>
          <w:sz w:val="30"/>
          <w:szCs w:val="30"/>
          <w:highlight w:val="none"/>
          <w:lang w:eastAsia="zh-CN"/>
        </w:rPr>
        <w:t>慢性病</w:t>
      </w:r>
      <w:r>
        <w:rPr>
          <w:rFonts w:hint="eastAsia"/>
          <w:color w:val="auto"/>
          <w:spacing w:val="0"/>
          <w:sz w:val="30"/>
          <w:szCs w:val="30"/>
          <w:highlight w:val="none"/>
          <w:lang w:val="en-US" w:eastAsia="zh-CN"/>
        </w:rPr>
        <w:t>情况；</w:t>
      </w:r>
      <w:r>
        <w:rPr>
          <w:rFonts w:hint="eastAsia"/>
          <w:color w:val="auto"/>
          <w:spacing w:val="0"/>
          <w:sz w:val="30"/>
          <w:szCs w:val="30"/>
          <w:highlight w:val="none"/>
        </w:rPr>
        <w:t>依托区传染病平台构建“监测</w:t>
      </w:r>
      <w:r>
        <w:rPr>
          <w:rFonts w:hint="eastAsia"/>
          <w:color w:val="auto"/>
          <w:spacing w:val="0"/>
          <w:sz w:val="30"/>
          <w:szCs w:val="30"/>
          <w:highlight w:val="none"/>
          <w:lang w:eastAsia="zh-CN"/>
        </w:rPr>
        <w:t>－</w:t>
      </w:r>
      <w:r>
        <w:rPr>
          <w:rFonts w:hint="eastAsia"/>
          <w:color w:val="auto"/>
          <w:spacing w:val="0"/>
          <w:sz w:val="30"/>
          <w:szCs w:val="30"/>
          <w:highlight w:val="none"/>
        </w:rPr>
        <w:t>预警</w:t>
      </w:r>
      <w:r>
        <w:rPr>
          <w:rFonts w:hint="eastAsia"/>
          <w:color w:val="auto"/>
          <w:spacing w:val="0"/>
          <w:sz w:val="30"/>
          <w:szCs w:val="30"/>
          <w:highlight w:val="none"/>
          <w:lang w:eastAsia="zh-CN"/>
        </w:rPr>
        <w:t>－</w:t>
      </w:r>
      <w:r>
        <w:rPr>
          <w:rFonts w:hint="eastAsia"/>
          <w:color w:val="auto"/>
          <w:spacing w:val="0"/>
          <w:sz w:val="30"/>
          <w:szCs w:val="30"/>
          <w:highlight w:val="none"/>
        </w:rPr>
        <w:t>处置”</w:t>
      </w:r>
      <w:r>
        <w:rPr>
          <w:rFonts w:hint="eastAsia"/>
          <w:color w:val="auto"/>
          <w:spacing w:val="0"/>
          <w:sz w:val="30"/>
          <w:szCs w:val="30"/>
          <w:highlight w:val="none"/>
          <w:lang w:eastAsia="zh-CN"/>
        </w:rPr>
        <w:t>的</w:t>
      </w:r>
      <w:r>
        <w:rPr>
          <w:rFonts w:hint="eastAsia"/>
          <w:color w:val="auto"/>
          <w:spacing w:val="0"/>
          <w:sz w:val="30"/>
          <w:szCs w:val="30"/>
          <w:highlight w:val="none"/>
        </w:rPr>
        <w:t>全流程防控体系。</w:t>
      </w:r>
      <w:r>
        <w:rPr>
          <w:rFonts w:hint="eastAsia"/>
          <w:color w:val="auto"/>
          <w:spacing w:val="0"/>
          <w:sz w:val="30"/>
          <w:szCs w:val="30"/>
          <w:highlight w:val="none"/>
          <w:lang w:val="en-US" w:eastAsia="zh-CN"/>
        </w:rPr>
        <w:t>鼓励发展健康体检、营养膳食、心理诊疗、母婴照料等健康服务，支持引进优质医疗资源和专业团队，推进“互联网+医疗健康”发展。</w:t>
      </w:r>
      <w:r>
        <w:rPr>
          <w:rFonts w:hint="eastAsia"/>
          <w:color w:val="auto"/>
          <w:spacing w:val="0"/>
          <w:sz w:val="30"/>
          <w:szCs w:val="30"/>
          <w:highlight w:val="none"/>
        </w:rPr>
        <w:t>推进居家适老化改造及AI行为监测，</w:t>
      </w:r>
      <w:r>
        <w:rPr>
          <w:rFonts w:hint="eastAsia"/>
          <w:color w:val="auto"/>
          <w:spacing w:val="0"/>
          <w:sz w:val="30"/>
          <w:szCs w:val="30"/>
          <w:highlight w:val="none"/>
          <w:lang w:val="en-US" w:eastAsia="zh-CN"/>
        </w:rPr>
        <w:t>在</w:t>
      </w:r>
      <w:r>
        <w:rPr>
          <w:rFonts w:hint="eastAsia"/>
          <w:color w:val="auto"/>
          <w:spacing w:val="0"/>
          <w:sz w:val="30"/>
          <w:szCs w:val="30"/>
          <w:highlight w:val="none"/>
        </w:rPr>
        <w:t>太保东滩颐养中心等机构深化“床边问诊”服务</w:t>
      </w:r>
      <w:r>
        <w:rPr>
          <w:rFonts w:hint="eastAsia"/>
          <w:color w:val="auto"/>
          <w:spacing w:val="0"/>
          <w:sz w:val="30"/>
          <w:szCs w:val="30"/>
          <w:highlight w:val="none"/>
          <w:lang w:eastAsia="zh-CN"/>
        </w:rPr>
        <w:t>；在</w:t>
      </w:r>
      <w:r>
        <w:rPr>
          <w:rFonts w:hint="eastAsia"/>
          <w:color w:val="auto"/>
          <w:spacing w:val="0"/>
          <w:sz w:val="30"/>
          <w:szCs w:val="30"/>
          <w:highlight w:val="none"/>
        </w:rPr>
        <w:t>社区综合为老服务中心开设“银发数字课堂”，提升老年人智能设备应用能力。推动人工智能赋能课堂教学方式变革</w:t>
      </w:r>
      <w:r>
        <w:rPr>
          <w:rFonts w:hint="eastAsia"/>
          <w:color w:val="auto"/>
          <w:spacing w:val="0"/>
          <w:sz w:val="30"/>
          <w:szCs w:val="30"/>
          <w:highlight w:val="none"/>
          <w:lang w:eastAsia="zh-CN"/>
        </w:rPr>
        <w:t>，</w:t>
      </w:r>
      <w:r>
        <w:rPr>
          <w:rFonts w:hint="eastAsia"/>
          <w:color w:val="auto"/>
          <w:spacing w:val="0"/>
          <w:sz w:val="30"/>
          <w:szCs w:val="30"/>
          <w:highlight w:val="none"/>
        </w:rPr>
        <w:t>实施教师人工智能素养提升行动，引入智能课堂教学诊断工具，设立跨校学习研究共同体。加强数字化应用基础环境建设，升级网络基础设施，建设崇明教育驾驶舱、数字基座“应用中心”，推进新一轮信息化标杆校和人工智能实验校建设。</w:t>
      </w:r>
      <w:r>
        <w:rPr>
          <w:rFonts w:hint="eastAsia"/>
          <w:color w:val="auto"/>
          <w:spacing w:val="0"/>
          <w:sz w:val="30"/>
          <w:szCs w:val="30"/>
          <w:highlight w:val="none"/>
          <w:lang w:val="en-US" w:eastAsia="zh-CN"/>
        </w:rPr>
        <w:t>积极应用</w:t>
      </w:r>
      <w:r>
        <w:rPr>
          <w:rFonts w:hint="eastAsia"/>
          <w:color w:val="auto"/>
          <w:spacing w:val="0"/>
          <w:sz w:val="30"/>
          <w:szCs w:val="30"/>
          <w:highlight w:val="none"/>
        </w:rPr>
        <w:t>人工智能</w:t>
      </w:r>
      <w:r>
        <w:rPr>
          <w:rFonts w:hint="eastAsia"/>
          <w:color w:val="auto"/>
          <w:spacing w:val="0"/>
          <w:sz w:val="30"/>
          <w:szCs w:val="30"/>
          <w:highlight w:val="none"/>
          <w:lang w:val="en-US" w:eastAsia="zh-CN"/>
        </w:rPr>
        <w:t>技术赋能</w:t>
      </w:r>
      <w:r>
        <w:rPr>
          <w:rFonts w:hint="eastAsia"/>
          <w:color w:val="auto"/>
          <w:spacing w:val="0"/>
          <w:sz w:val="30"/>
          <w:szCs w:val="30"/>
          <w:highlight w:val="none"/>
        </w:rPr>
        <w:t>教学管理</w:t>
      </w:r>
      <w:r>
        <w:rPr>
          <w:rFonts w:hint="eastAsia"/>
          <w:color w:val="auto"/>
          <w:spacing w:val="0"/>
          <w:sz w:val="30"/>
          <w:szCs w:val="30"/>
          <w:highlight w:val="none"/>
          <w:lang w:val="en-US" w:eastAsia="zh-CN"/>
        </w:rPr>
        <w:t>与</w:t>
      </w:r>
      <w:r>
        <w:rPr>
          <w:rFonts w:hint="eastAsia"/>
          <w:color w:val="auto"/>
          <w:spacing w:val="0"/>
          <w:sz w:val="30"/>
          <w:szCs w:val="30"/>
          <w:highlight w:val="none"/>
        </w:rPr>
        <w:t>师生数智素养提升，形成一批人工智能示范校、信息化标杆校典型案例。</w:t>
      </w:r>
    </w:p>
    <w:p w14:paraId="42C3FAE9">
      <w:pPr>
        <w:pStyle w:val="14"/>
        <w:keepNext w:val="0"/>
        <w:keepLines w:val="0"/>
        <w:pageBreakBefore w:val="0"/>
        <w:widowControl w:val="0"/>
        <w:kinsoku/>
        <w:wordWrap/>
        <w:overflowPunct/>
        <w:topLinePunct w:val="0"/>
        <w:autoSpaceDE/>
        <w:autoSpaceDN/>
        <w:bidi w:val="0"/>
        <w:snapToGrid/>
        <w:spacing w:line="560" w:lineRule="exact"/>
        <w:ind w:left="0" w:leftChars="0" w:firstLine="592" w:firstLineChars="200"/>
        <w:jc w:val="both"/>
        <w:textAlignment w:val="auto"/>
        <w:rPr>
          <w:rFonts w:hint="eastAsia"/>
          <w:color w:val="auto"/>
          <w:spacing w:val="0"/>
          <w:sz w:val="30"/>
          <w:szCs w:val="30"/>
          <w:highlight w:val="none"/>
        </w:rPr>
      </w:pPr>
      <w:r>
        <w:rPr>
          <w:rFonts w:hint="eastAsia" w:ascii="楷体_GB2312" w:hAnsi="楷体_GB2312" w:eastAsia="楷体_GB2312" w:cs="楷体_GB2312"/>
          <w:b/>
          <w:bCs/>
          <w:color w:val="auto"/>
          <w:spacing w:val="0"/>
          <w:sz w:val="30"/>
          <w:szCs w:val="30"/>
          <w:highlight w:val="none"/>
          <w:lang w:val="en-US" w:eastAsia="zh-CN"/>
        </w:rPr>
        <w:t>赋能</w:t>
      </w:r>
      <w:r>
        <w:rPr>
          <w:rFonts w:hint="eastAsia" w:ascii="楷体_GB2312" w:hAnsi="楷体_GB2312" w:eastAsia="楷体_GB2312" w:cs="楷体_GB2312"/>
          <w:b/>
          <w:bCs/>
          <w:color w:val="auto"/>
          <w:spacing w:val="0"/>
          <w:sz w:val="30"/>
          <w:szCs w:val="30"/>
          <w:highlight w:val="none"/>
        </w:rPr>
        <w:t>文旅体</w:t>
      </w:r>
      <w:r>
        <w:rPr>
          <w:rFonts w:hint="eastAsia" w:ascii="楷体_GB2312" w:hAnsi="楷体_GB2312" w:eastAsia="楷体_GB2312" w:cs="楷体_GB2312"/>
          <w:b/>
          <w:bCs/>
          <w:color w:val="auto"/>
          <w:spacing w:val="0"/>
          <w:sz w:val="30"/>
          <w:szCs w:val="30"/>
          <w:highlight w:val="none"/>
          <w:lang w:val="en-US" w:eastAsia="zh-CN"/>
        </w:rPr>
        <w:t>繁荣消费</w:t>
      </w:r>
      <w:r>
        <w:rPr>
          <w:rFonts w:hint="eastAsia" w:ascii="楷体_GB2312" w:hAnsi="楷体_GB2312" w:eastAsia="楷体_GB2312" w:cs="楷体_GB2312"/>
          <w:b/>
          <w:bCs/>
          <w:color w:val="auto"/>
          <w:spacing w:val="0"/>
          <w:sz w:val="30"/>
          <w:szCs w:val="30"/>
          <w:highlight w:val="none"/>
          <w:lang w:eastAsia="zh-CN"/>
        </w:rPr>
        <w:t>，</w:t>
      </w:r>
      <w:r>
        <w:rPr>
          <w:rFonts w:hint="eastAsia" w:ascii="楷体_GB2312" w:hAnsi="楷体_GB2312" w:eastAsia="楷体_GB2312" w:cs="楷体_GB2312"/>
          <w:b/>
          <w:bCs/>
          <w:color w:val="auto"/>
          <w:spacing w:val="0"/>
          <w:sz w:val="30"/>
          <w:szCs w:val="30"/>
          <w:highlight w:val="none"/>
        </w:rPr>
        <w:t>激发生态消费新动能</w:t>
      </w:r>
      <w:r>
        <w:rPr>
          <w:rFonts w:hint="eastAsia" w:ascii="楷体_GB2312" w:hAnsi="楷体_GB2312" w:eastAsia="楷体_GB2312" w:cs="楷体_GB2312"/>
          <w:b/>
          <w:bCs/>
          <w:color w:val="auto"/>
          <w:spacing w:val="0"/>
          <w:sz w:val="30"/>
          <w:szCs w:val="30"/>
          <w:highlight w:val="none"/>
          <w:lang w:eastAsia="zh-CN"/>
        </w:rPr>
        <w:t>。</w:t>
      </w:r>
      <w:r>
        <w:rPr>
          <w:rFonts w:hint="eastAsia" w:ascii="仿宋_GB2312" w:hAnsi="仿宋_GB2312" w:eastAsia="仿宋_GB2312" w:cs="Times New Roman"/>
          <w:b w:val="0"/>
          <w:bCs w:val="0"/>
          <w:color w:val="auto"/>
          <w:spacing w:val="0"/>
          <w:sz w:val="30"/>
          <w:szCs w:val="30"/>
          <w:highlight w:val="none"/>
          <w:lang w:val="en-US" w:eastAsia="zh-CN"/>
        </w:rPr>
        <w:t>推进</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非遗数字工坊</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建设</w:t>
      </w:r>
      <w:r>
        <w:rPr>
          <w:rFonts w:hint="eastAsia"/>
          <w:color w:val="auto"/>
          <w:spacing w:val="0"/>
          <w:sz w:val="30"/>
          <w:szCs w:val="30"/>
          <w:highlight w:val="none"/>
        </w:rPr>
        <w:t>，通过VR技术重现灶</w:t>
      </w:r>
      <w:r>
        <w:rPr>
          <w:rFonts w:hint="eastAsia"/>
          <w:color w:val="auto"/>
          <w:spacing w:val="0"/>
          <w:sz w:val="30"/>
          <w:szCs w:val="30"/>
          <w:highlight w:val="none"/>
          <w:lang w:eastAsia="zh-CN"/>
        </w:rPr>
        <w:t>画艺术</w:t>
      </w:r>
      <w:r>
        <w:rPr>
          <w:rFonts w:hint="eastAsia"/>
          <w:color w:val="auto"/>
          <w:spacing w:val="0"/>
          <w:sz w:val="30"/>
          <w:szCs w:val="30"/>
          <w:highlight w:val="none"/>
        </w:rPr>
        <w:t>、江南丝竹</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实现文创产品线上转化</w:t>
      </w:r>
      <w:r>
        <w:rPr>
          <w:rFonts w:hint="eastAsia"/>
          <w:color w:val="auto"/>
          <w:spacing w:val="0"/>
          <w:sz w:val="30"/>
          <w:szCs w:val="30"/>
          <w:highlight w:val="none"/>
        </w:rPr>
        <w:t>；升级体育智联</w:t>
      </w:r>
      <w:r>
        <w:rPr>
          <w:rFonts w:hint="eastAsia"/>
          <w:color w:val="auto"/>
          <w:spacing w:val="0"/>
          <w:sz w:val="30"/>
          <w:szCs w:val="30"/>
          <w:highlight w:val="none"/>
          <w:lang w:eastAsia="zh-CN"/>
        </w:rPr>
        <w:t>，</w:t>
      </w:r>
      <w:r>
        <w:rPr>
          <w:rFonts w:hint="eastAsia"/>
          <w:color w:val="auto"/>
          <w:spacing w:val="0"/>
          <w:sz w:val="30"/>
          <w:szCs w:val="30"/>
          <w:highlight w:val="none"/>
        </w:rPr>
        <w:t>完成崇明市民健身中心、东滩自行车小镇等场馆智能化改造，配备AI教练、运动数据采集设备；升级环崇明岛女子自行车赛、长江马拉松等赛事数字化运营</w:t>
      </w:r>
      <w:r>
        <w:rPr>
          <w:rFonts w:hint="eastAsia"/>
          <w:color w:val="auto"/>
          <w:spacing w:val="0"/>
          <w:sz w:val="30"/>
          <w:szCs w:val="30"/>
          <w:highlight w:val="none"/>
          <w:lang w:val="en-US" w:eastAsia="zh-CN"/>
        </w:rPr>
        <w:t>服务能力</w:t>
      </w:r>
      <w:r>
        <w:rPr>
          <w:rFonts w:hint="eastAsia"/>
          <w:color w:val="auto"/>
          <w:spacing w:val="0"/>
          <w:sz w:val="30"/>
          <w:szCs w:val="30"/>
          <w:highlight w:val="none"/>
        </w:rPr>
        <w:t>；</w:t>
      </w:r>
      <w:r>
        <w:rPr>
          <w:rFonts w:hint="eastAsia"/>
          <w:color w:val="auto"/>
          <w:spacing w:val="0"/>
          <w:sz w:val="30"/>
          <w:szCs w:val="30"/>
          <w:highlight w:val="none"/>
          <w:lang w:val="en-US" w:eastAsia="zh-CN"/>
        </w:rPr>
        <w:t>基于</w:t>
      </w:r>
      <w:r>
        <w:rPr>
          <w:rFonts w:hint="eastAsia"/>
          <w:color w:val="auto"/>
          <w:spacing w:val="0"/>
          <w:sz w:val="30"/>
          <w:szCs w:val="30"/>
          <w:highlight w:val="none"/>
        </w:rPr>
        <w:t>“健身地图”小程序实现场馆预约、数据查询一体化；</w:t>
      </w:r>
      <w:r>
        <w:rPr>
          <w:rFonts w:hint="eastAsia"/>
          <w:color w:val="auto"/>
          <w:spacing w:val="0"/>
          <w:sz w:val="30"/>
          <w:szCs w:val="30"/>
          <w:highlight w:val="none"/>
          <w:lang w:val="en-US" w:eastAsia="zh-CN"/>
        </w:rPr>
        <w:t>对接</w:t>
      </w:r>
      <w:r>
        <w:rPr>
          <w:rFonts w:hint="eastAsia"/>
          <w:color w:val="auto"/>
          <w:spacing w:val="0"/>
          <w:sz w:val="30"/>
          <w:szCs w:val="30"/>
          <w:highlight w:val="none"/>
        </w:rPr>
        <w:t>上海市健康云平台</w:t>
      </w:r>
      <w:r>
        <w:rPr>
          <w:rFonts w:hint="eastAsia"/>
          <w:color w:val="auto"/>
          <w:spacing w:val="0"/>
          <w:sz w:val="30"/>
          <w:szCs w:val="30"/>
          <w:highlight w:val="none"/>
          <w:lang w:val="en-US" w:eastAsia="zh-CN"/>
        </w:rPr>
        <w:t>数据，构建精准</w:t>
      </w:r>
      <w:r>
        <w:rPr>
          <w:rFonts w:hint="eastAsia"/>
          <w:color w:val="auto"/>
          <w:spacing w:val="0"/>
          <w:sz w:val="30"/>
          <w:szCs w:val="30"/>
          <w:highlight w:val="none"/>
        </w:rPr>
        <w:t>居民“健康画像”</w:t>
      </w:r>
      <w:r>
        <w:rPr>
          <w:rFonts w:hint="eastAsia"/>
          <w:color w:val="auto"/>
          <w:spacing w:val="0"/>
          <w:sz w:val="30"/>
          <w:szCs w:val="30"/>
          <w:highlight w:val="none"/>
          <w:lang w:eastAsia="zh-CN"/>
        </w:rPr>
        <w:t>；</w:t>
      </w:r>
      <w:r>
        <w:rPr>
          <w:rFonts w:hint="eastAsia"/>
          <w:color w:val="auto"/>
          <w:spacing w:val="0"/>
          <w:sz w:val="30"/>
          <w:szCs w:val="30"/>
          <w:highlight w:val="none"/>
        </w:rPr>
        <w:t>在社区部署智能体测仪提供个性化运动处方。实现</w:t>
      </w:r>
      <w:r>
        <w:rPr>
          <w:rFonts w:hint="eastAsia"/>
          <w:color w:val="auto"/>
          <w:spacing w:val="0"/>
          <w:sz w:val="30"/>
          <w:szCs w:val="30"/>
          <w:highlight w:val="none"/>
          <w:lang w:val="en-US" w:eastAsia="zh-CN"/>
        </w:rPr>
        <w:t>主要</w:t>
      </w:r>
      <w:r>
        <w:rPr>
          <w:rFonts w:hint="eastAsia"/>
          <w:color w:val="auto"/>
          <w:spacing w:val="0"/>
          <w:sz w:val="30"/>
          <w:szCs w:val="30"/>
          <w:highlight w:val="none"/>
        </w:rPr>
        <w:t>景区AI导览及客流监测全覆盖；整合五大文旅片区资源构建“吃住行游购娱”数据库，通过</w:t>
      </w:r>
      <w:r>
        <w:rPr>
          <w:rFonts w:hint="eastAsia"/>
          <w:color w:val="auto"/>
          <w:spacing w:val="0"/>
          <w:sz w:val="30"/>
          <w:szCs w:val="30"/>
          <w:highlight w:val="none"/>
          <w:lang w:val="en-US" w:eastAsia="zh-CN"/>
        </w:rPr>
        <w:t>线上平台</w:t>
      </w:r>
      <w:r>
        <w:rPr>
          <w:rFonts w:hint="eastAsia"/>
          <w:color w:val="auto"/>
          <w:spacing w:val="0"/>
          <w:sz w:val="30"/>
          <w:szCs w:val="30"/>
          <w:highlight w:val="none"/>
        </w:rPr>
        <w:t>精准推送民宿、采摘园等特色服务；打造智慧旅游营销体系，以消费</w:t>
      </w:r>
      <w:r>
        <w:rPr>
          <w:rFonts w:hint="eastAsia"/>
          <w:color w:val="auto"/>
          <w:spacing w:val="0"/>
          <w:sz w:val="30"/>
          <w:szCs w:val="30"/>
          <w:highlight w:val="none"/>
          <w:lang w:val="en-US" w:eastAsia="zh-CN"/>
        </w:rPr>
        <w:t>数据</w:t>
      </w:r>
      <w:r>
        <w:rPr>
          <w:rFonts w:hint="eastAsia"/>
          <w:color w:val="auto"/>
          <w:spacing w:val="0"/>
          <w:sz w:val="30"/>
          <w:szCs w:val="30"/>
          <w:highlight w:val="none"/>
        </w:rPr>
        <w:t>分析驱动全域旅游收入增长。</w:t>
      </w:r>
    </w:p>
    <w:p w14:paraId="0B18E2D5">
      <w:pPr>
        <w:keepNext w:val="0"/>
        <w:keepLines w:val="0"/>
        <w:pageBreakBefore w:val="0"/>
        <w:widowControl w:val="0"/>
        <w:kinsoku/>
        <w:wordWrap/>
        <w:overflowPunct/>
        <w:topLinePunct w:val="0"/>
        <w:autoSpaceDE/>
        <w:autoSpaceDN/>
        <w:bidi w:val="0"/>
        <w:snapToGrid/>
        <w:spacing w:line="560" w:lineRule="exact"/>
        <w:ind w:firstLine="632" w:firstLineChars="200"/>
        <w:jc w:val="both"/>
        <w:textAlignment w:val="auto"/>
        <w:rPr>
          <w:color w:val="auto"/>
          <w:spacing w:val="0"/>
          <w:sz w:val="30"/>
          <w:szCs w:val="30"/>
          <w:highlight w:val="none"/>
        </w:rPr>
      </w:pPr>
      <w:bookmarkStart w:id="368" w:name="_Toc11884"/>
      <w:bookmarkStart w:id="369" w:name="_Toc10955"/>
      <w:r>
        <w:rPr>
          <w:rFonts w:hint="eastAsia" w:ascii="楷体_GB2312" w:hAnsi="楷体_GB2312" w:eastAsia="楷体_GB2312" w:cs="楷体_GB2312"/>
          <w:b/>
          <w:bCs/>
          <w:color w:val="auto"/>
          <w:spacing w:val="0"/>
          <w:sz w:val="32"/>
          <w:szCs w:val="32"/>
          <w:highlight w:val="none"/>
          <w:lang w:val="en-US" w:eastAsia="zh-CN"/>
        </w:rPr>
        <w:t>赋能交通网</w:t>
      </w:r>
      <w:r>
        <w:rPr>
          <w:rFonts w:hint="eastAsia" w:ascii="楷体_GB2312" w:hAnsi="楷体_GB2312" w:eastAsia="楷体_GB2312" w:cs="楷体_GB2312"/>
          <w:b/>
          <w:bCs/>
          <w:color w:val="auto"/>
          <w:spacing w:val="0"/>
          <w:sz w:val="32"/>
          <w:szCs w:val="32"/>
          <w:highlight w:val="none"/>
        </w:rPr>
        <w:t>协同畅行</w:t>
      </w:r>
      <w:r>
        <w:rPr>
          <w:rFonts w:hint="eastAsia" w:ascii="楷体_GB2312" w:hAnsi="楷体_GB2312" w:eastAsia="楷体_GB2312" w:cs="楷体_GB2312"/>
          <w:b/>
          <w:bCs/>
          <w:color w:val="auto"/>
          <w:spacing w:val="0"/>
          <w:sz w:val="32"/>
          <w:szCs w:val="32"/>
          <w:highlight w:val="none"/>
          <w:lang w:eastAsia="zh-CN"/>
        </w:rPr>
        <w:t>，</w:t>
      </w:r>
      <w:r>
        <w:rPr>
          <w:rFonts w:hint="eastAsia" w:ascii="楷体_GB2312" w:hAnsi="楷体_GB2312" w:eastAsia="楷体_GB2312" w:cs="楷体_GB2312"/>
          <w:b/>
          <w:bCs/>
          <w:color w:val="auto"/>
          <w:spacing w:val="0"/>
          <w:sz w:val="32"/>
          <w:szCs w:val="32"/>
          <w:highlight w:val="none"/>
        </w:rPr>
        <w:t>铺就智慧交通新通途</w:t>
      </w:r>
      <w:bookmarkEnd w:id="368"/>
      <w:bookmarkEnd w:id="369"/>
      <w:r>
        <w:rPr>
          <w:rFonts w:hint="eastAsia" w:ascii="楷体_GB2312" w:hAnsi="楷体_GB2312" w:eastAsia="楷体_GB2312" w:cs="楷体_GB2312"/>
          <w:b/>
          <w:bCs/>
          <w:color w:val="auto"/>
          <w:spacing w:val="0"/>
          <w:sz w:val="32"/>
          <w:szCs w:val="32"/>
          <w:highlight w:val="none"/>
          <w:lang w:eastAsia="zh-CN"/>
        </w:rPr>
        <w:t>。</w:t>
      </w:r>
      <w:r>
        <w:rPr>
          <w:rFonts w:hint="eastAsia" w:ascii="仿宋_GB2312" w:hAnsi="仿宋_GB2312" w:eastAsia="仿宋_GB2312" w:cs="Times New Roman"/>
          <w:color w:val="auto"/>
          <w:spacing w:val="0"/>
          <w:kern w:val="0"/>
          <w:sz w:val="30"/>
          <w:szCs w:val="30"/>
          <w:highlight w:val="none"/>
          <w:lang w:val="en-US" w:eastAsia="zh-CN"/>
        </w:rPr>
        <w:t>聚焦地铁、高铁上岛数字化交通管理需求，运用数字孪生、大数据等技术，优化区域综合交通智慧管理平台运营，构建新型综合交通数字化管理模式，推动崇明交通治理体系和治理能力现代化。整合智慧道路、智慧公交、智慧停车等系统和数据资源，提升城乡交通运行效率。逐步构建全覆盖全天候全要素路网运行感知体系，推动公路建设施工及养护智能化。统筹推进主干公路绿波网络建设，推进智能驾驶应用。建设无人机管控平台，探索对辖区内主干公路、港口码头等重点交通场景的动态巡查，实现跨部门业务协同与信息共享。</w:t>
      </w:r>
    </w:p>
    <w:p w14:paraId="617C44BA">
      <w:pPr>
        <w:rPr>
          <w:rFonts w:hint="eastAsia"/>
          <w:color w:val="auto"/>
          <w:spacing w:val="0"/>
          <w:highlight w:val="none"/>
          <w:lang w:eastAsia="zh-CN"/>
        </w:rPr>
      </w:pPr>
      <w:bookmarkStart w:id="370" w:name="_Toc89456877"/>
      <w:bookmarkStart w:id="371" w:name="_Toc3638"/>
      <w:bookmarkStart w:id="372" w:name="_Toc16015"/>
      <w:bookmarkStart w:id="373" w:name="_Toc205363201"/>
      <w:bookmarkStart w:id="374" w:name="_Toc111521563"/>
      <w:bookmarkStart w:id="375" w:name="_Toc1306"/>
      <w:bookmarkStart w:id="376" w:name="_Toc205207125"/>
      <w:bookmarkStart w:id="377" w:name="_Toc11977"/>
      <w:bookmarkStart w:id="378" w:name="_Toc8465"/>
      <w:r>
        <w:rPr>
          <w:rFonts w:hint="eastAsia"/>
          <w:color w:val="auto"/>
          <w:spacing w:val="0"/>
          <w:highlight w:val="none"/>
          <w:lang w:eastAsia="zh-CN"/>
        </w:rPr>
        <w:br w:type="page"/>
      </w:r>
    </w:p>
    <w:p w14:paraId="0F8EB32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0"/>
        <w:jc w:val="center"/>
        <w:textAlignment w:val="auto"/>
        <w:rPr>
          <w:spacing w:val="0"/>
          <w:highlight w:val="none"/>
        </w:rPr>
      </w:pPr>
      <w:bookmarkStart w:id="379" w:name="_Toc2087063175"/>
      <w:bookmarkStart w:id="380" w:name="_Toc8459"/>
      <w:bookmarkStart w:id="381" w:name="_Toc3395"/>
      <w:bookmarkStart w:id="382" w:name="_Toc1737"/>
      <w:bookmarkStart w:id="383" w:name="_Toc7221"/>
      <w:r>
        <w:rPr>
          <w:rFonts w:hint="eastAsia"/>
          <w:spacing w:val="0"/>
          <w:highlight w:val="none"/>
          <w:lang w:eastAsia="zh-CN"/>
        </w:rPr>
        <w:t>第五章、</w:t>
      </w:r>
      <w:r>
        <w:rPr>
          <w:spacing w:val="0"/>
          <w:highlight w:val="none"/>
        </w:rPr>
        <w:t>培育新兴产业，构建数字产业集群高地</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076D497E">
      <w:pPr>
        <w:pStyle w:val="4"/>
        <w:keepNext w:val="0"/>
        <w:keepLines w:val="0"/>
        <w:pageBreakBefore w:val="0"/>
        <w:widowControl w:val="0"/>
        <w:kinsoku/>
        <w:wordWrap/>
        <w:overflowPunct/>
        <w:topLinePunct w:val="0"/>
        <w:autoSpaceDE/>
        <w:autoSpaceDN/>
        <w:bidi w:val="0"/>
        <w:snapToGrid/>
        <w:spacing w:line="360" w:lineRule="auto"/>
        <w:ind w:left="0" w:leftChars="0" w:firstLine="632" w:firstLineChars="200"/>
        <w:jc w:val="both"/>
        <w:textAlignment w:val="auto"/>
        <w:rPr>
          <w:rFonts w:hint="eastAsia" w:eastAsia="黑体"/>
          <w:color w:val="auto"/>
          <w:spacing w:val="0"/>
          <w:sz w:val="32"/>
          <w:szCs w:val="32"/>
          <w:highlight w:val="none"/>
          <w:lang w:val="en-US" w:eastAsia="zh-CN"/>
        </w:rPr>
      </w:pPr>
      <w:bookmarkStart w:id="384" w:name="_Toc205363215"/>
      <w:bookmarkStart w:id="385" w:name="_Toc18640"/>
      <w:bookmarkStart w:id="386" w:name="_Toc1916"/>
      <w:bookmarkStart w:id="387" w:name="_Toc10498"/>
      <w:bookmarkStart w:id="388" w:name="_Toc26159"/>
      <w:bookmarkStart w:id="389" w:name="_Toc15145"/>
      <w:bookmarkStart w:id="390" w:name="_Toc185491608"/>
      <w:bookmarkStart w:id="391" w:name="_Toc205207139"/>
      <w:bookmarkStart w:id="392" w:name="_Toc7505"/>
      <w:bookmarkStart w:id="393" w:name="_Toc14931"/>
      <w:bookmarkStart w:id="394" w:name="_Toc10070"/>
      <w:bookmarkStart w:id="395" w:name="_Toc999263373"/>
      <w:bookmarkStart w:id="396" w:name="_Toc1858563225"/>
      <w:bookmarkStart w:id="397" w:name="_Toc24879"/>
      <w:bookmarkStart w:id="398" w:name="_Toc2057430043"/>
      <w:bookmarkStart w:id="399" w:name="_Toc28948"/>
      <w:bookmarkStart w:id="400" w:name="_Toc3378"/>
      <w:bookmarkStart w:id="401" w:name="_Toc205207126"/>
      <w:bookmarkStart w:id="402" w:name="_Toc23600"/>
      <w:bookmarkStart w:id="403" w:name="_Toc18793"/>
      <w:bookmarkStart w:id="404" w:name="_Toc797896605"/>
      <w:bookmarkStart w:id="405" w:name="_Toc205363202"/>
      <w:bookmarkStart w:id="406" w:name="_Toc809146385"/>
      <w:bookmarkStart w:id="407" w:name="_Toc22027"/>
      <w:bookmarkStart w:id="408" w:name="_Toc26713"/>
      <w:bookmarkStart w:id="409" w:name="_Toc13767"/>
      <w:bookmarkStart w:id="410" w:name="_Toc30147"/>
      <w:r>
        <w:rPr>
          <w:rFonts w:hint="eastAsia" w:ascii="黑体" w:hAnsi="黑体" w:eastAsia="黑体" w:cs="黑体"/>
          <w:color w:val="auto"/>
          <w:spacing w:val="0"/>
          <w:kern w:val="2"/>
          <w:sz w:val="32"/>
          <w:szCs w:val="32"/>
          <w:highlight w:val="none"/>
          <w:lang w:val="en-US" w:eastAsia="zh-CN" w:bidi="ar-SA"/>
        </w:rPr>
        <w:t>一、</w:t>
      </w:r>
      <w:r>
        <w:rPr>
          <w:color w:val="auto"/>
          <w:spacing w:val="0"/>
          <w:sz w:val="32"/>
          <w:szCs w:val="32"/>
          <w:highlight w:val="none"/>
        </w:rPr>
        <w:t>发挥数据要素</w:t>
      </w:r>
      <w:r>
        <w:rPr>
          <w:rFonts w:hint="eastAsia"/>
          <w:color w:val="auto"/>
          <w:spacing w:val="0"/>
          <w:sz w:val="32"/>
          <w:szCs w:val="32"/>
          <w:highlight w:val="none"/>
          <w:lang w:val="en-US" w:eastAsia="zh-CN"/>
        </w:rPr>
        <w:t>核心</w:t>
      </w:r>
      <w:r>
        <w:rPr>
          <w:color w:val="auto"/>
          <w:spacing w:val="0"/>
          <w:sz w:val="32"/>
          <w:szCs w:val="32"/>
          <w:highlight w:val="none"/>
        </w:rPr>
        <w:t>价值，推动数据要素市场</w:t>
      </w:r>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color w:val="auto"/>
          <w:spacing w:val="0"/>
          <w:sz w:val="32"/>
          <w:szCs w:val="32"/>
          <w:highlight w:val="none"/>
          <w:lang w:val="en-US" w:eastAsia="zh-CN"/>
        </w:rPr>
        <w:t>流通</w:t>
      </w:r>
      <w:bookmarkEnd w:id="397"/>
    </w:p>
    <w:p w14:paraId="2BCDB280">
      <w:pPr>
        <w:pStyle w:val="14"/>
        <w:bidi w:val="0"/>
        <w:rPr>
          <w:color w:val="auto"/>
          <w:spacing w:val="0"/>
          <w:sz w:val="30"/>
          <w:szCs w:val="30"/>
          <w:highlight w:val="none"/>
        </w:rPr>
      </w:pPr>
      <w:r>
        <w:rPr>
          <w:rFonts w:hint="eastAsia" w:ascii="楷体_GB2312" w:hAnsi="楷体_GB2312" w:eastAsia="楷体_GB2312" w:cs="楷体_GB2312"/>
          <w:b/>
          <w:bCs/>
          <w:spacing w:val="0"/>
          <w:highlight w:val="none"/>
        </w:rPr>
        <w:t>数据资源整合治理，提升数据质量效能</w:t>
      </w:r>
      <w:r>
        <w:rPr>
          <w:rFonts w:hint="eastAsia" w:ascii="楷体_GB2312" w:hAnsi="楷体_GB2312" w:eastAsia="楷体_GB2312" w:cs="楷体_GB2312"/>
          <w:b/>
          <w:bCs/>
          <w:spacing w:val="0"/>
          <w:highlight w:val="none"/>
          <w:lang w:eastAsia="zh-CN"/>
        </w:rPr>
        <w:t>。</w:t>
      </w:r>
      <w:r>
        <w:rPr>
          <w:color w:val="auto"/>
          <w:spacing w:val="0"/>
          <w:sz w:val="30"/>
          <w:szCs w:val="30"/>
          <w:highlight w:val="none"/>
        </w:rPr>
        <w:t>按照国家数据要素市场化配置改革要求，建立</w:t>
      </w:r>
      <w:r>
        <w:rPr>
          <w:rFonts w:hint="eastAsia"/>
          <w:color w:val="auto"/>
          <w:spacing w:val="0"/>
          <w:sz w:val="30"/>
          <w:szCs w:val="30"/>
          <w:highlight w:val="none"/>
          <w:lang w:val="en-US" w:eastAsia="zh-CN"/>
        </w:rPr>
        <w:t>本</w:t>
      </w:r>
      <w:r>
        <w:rPr>
          <w:color w:val="auto"/>
          <w:spacing w:val="0"/>
          <w:sz w:val="30"/>
          <w:szCs w:val="30"/>
          <w:highlight w:val="none"/>
        </w:rPr>
        <w:t>区数据资源整合与治理机制，整合生态环境、农业农村、交通旅游等部门数据，形成统一的数据资源池，</w:t>
      </w:r>
      <w:r>
        <w:rPr>
          <w:rFonts w:hint="eastAsia"/>
          <w:color w:val="auto"/>
          <w:spacing w:val="0"/>
          <w:sz w:val="30"/>
          <w:szCs w:val="30"/>
          <w:highlight w:val="none"/>
          <w:lang w:val="en-US" w:eastAsia="zh-CN"/>
        </w:rPr>
        <w:t>挖掘数据要素开发利用场景，</w:t>
      </w:r>
      <w:r>
        <w:rPr>
          <w:color w:val="auto"/>
          <w:spacing w:val="0"/>
          <w:sz w:val="30"/>
          <w:szCs w:val="30"/>
          <w:highlight w:val="none"/>
        </w:rPr>
        <w:t>规范数据交易行为。</w:t>
      </w:r>
      <w:r>
        <w:rPr>
          <w:rFonts w:hint="eastAsia"/>
          <w:color w:val="auto"/>
          <w:spacing w:val="0"/>
          <w:sz w:val="30"/>
          <w:szCs w:val="30"/>
          <w:highlight w:val="none"/>
          <w:lang w:val="en-US" w:eastAsia="zh-CN"/>
        </w:rPr>
        <w:t>严格落实本市</w:t>
      </w:r>
      <w:r>
        <w:rPr>
          <w:color w:val="auto"/>
          <w:spacing w:val="0"/>
          <w:sz w:val="30"/>
          <w:szCs w:val="30"/>
          <w:highlight w:val="none"/>
        </w:rPr>
        <w:t>数据收益分配机制，保障数据所有者、使用者和开发者的合法权益。开展数据清洗、标注、脱敏等工作，提高数据质量。</w:t>
      </w:r>
      <w:r>
        <w:rPr>
          <w:rFonts w:hint="eastAsia"/>
          <w:color w:val="auto"/>
          <w:spacing w:val="0"/>
          <w:sz w:val="30"/>
          <w:szCs w:val="30"/>
          <w:highlight w:val="none"/>
          <w:lang w:val="en-US" w:eastAsia="zh-CN"/>
        </w:rPr>
        <w:t>依托本市</w:t>
      </w:r>
      <w:r>
        <w:rPr>
          <w:color w:val="auto"/>
          <w:spacing w:val="0"/>
          <w:sz w:val="30"/>
          <w:szCs w:val="30"/>
          <w:highlight w:val="none"/>
        </w:rPr>
        <w:t>数据资产管理平台，对数据资产进行登记、评估、定价，为数据交易流通奠定基础。</w:t>
      </w:r>
    </w:p>
    <w:p w14:paraId="2BFA9C35">
      <w:pPr>
        <w:pStyle w:val="14"/>
        <w:bidi w:val="0"/>
        <w:rPr>
          <w:color w:val="auto"/>
          <w:spacing w:val="0"/>
          <w:sz w:val="30"/>
          <w:szCs w:val="30"/>
          <w:highlight w:val="none"/>
        </w:rPr>
      </w:pPr>
      <w:bookmarkStart w:id="411" w:name="_Toc15175"/>
      <w:bookmarkStart w:id="412" w:name="_Toc20726"/>
      <w:bookmarkStart w:id="413" w:name="_Toc22199"/>
      <w:bookmarkStart w:id="414" w:name="_Toc13238"/>
      <w:bookmarkStart w:id="415" w:name="_Toc29819"/>
      <w:bookmarkStart w:id="416" w:name="_Toc205363217"/>
      <w:bookmarkStart w:id="417" w:name="_Toc205207141"/>
      <w:r>
        <w:rPr>
          <w:rFonts w:hint="eastAsia" w:ascii="楷体_GB2312" w:hAnsi="楷体_GB2312" w:eastAsia="楷体_GB2312" w:cs="楷体_GB2312"/>
          <w:b/>
          <w:bCs/>
          <w:spacing w:val="0"/>
          <w:highlight w:val="none"/>
        </w:rPr>
        <w:t>培育数据交易市场，畅通要素流通渠道</w:t>
      </w:r>
      <w:bookmarkEnd w:id="411"/>
      <w:bookmarkEnd w:id="412"/>
      <w:bookmarkEnd w:id="413"/>
      <w:bookmarkEnd w:id="414"/>
      <w:bookmarkEnd w:id="415"/>
      <w:bookmarkEnd w:id="416"/>
      <w:bookmarkEnd w:id="417"/>
      <w:r>
        <w:rPr>
          <w:rFonts w:hint="eastAsia" w:ascii="楷体_GB2312" w:hAnsi="楷体_GB2312" w:eastAsia="楷体_GB2312" w:cs="楷体_GB2312"/>
          <w:b/>
          <w:bCs/>
          <w:spacing w:val="0"/>
          <w:highlight w:val="none"/>
          <w:lang w:eastAsia="zh-CN"/>
        </w:rPr>
        <w:t>。</w:t>
      </w:r>
      <w:r>
        <w:rPr>
          <w:color w:val="auto"/>
          <w:spacing w:val="0"/>
          <w:sz w:val="30"/>
          <w:szCs w:val="30"/>
          <w:highlight w:val="none"/>
        </w:rPr>
        <w:t>以数据要素市场化配置改革为主线，积极响应上海数据交易所建设相关规划，培育</w:t>
      </w:r>
      <w:r>
        <w:rPr>
          <w:rFonts w:hint="eastAsia"/>
          <w:color w:val="auto"/>
          <w:spacing w:val="0"/>
          <w:sz w:val="30"/>
          <w:szCs w:val="30"/>
          <w:highlight w:val="none"/>
          <w:lang w:val="en-US" w:eastAsia="zh-CN"/>
        </w:rPr>
        <w:t>本</w:t>
      </w:r>
      <w:r>
        <w:rPr>
          <w:color w:val="auto"/>
          <w:spacing w:val="0"/>
          <w:sz w:val="30"/>
          <w:szCs w:val="30"/>
          <w:highlight w:val="none"/>
        </w:rPr>
        <w:t>区数据交易市场，开展生态数据、农业数据、文旅数据等特色数据交易业务。引进和培育一批数据资源类数商、技术驱动型数商、第三方服务类数商，构建完善的数据要素市场服务体系。支持数商企业开展数据采集、清洗、标注、交易等业务，促进数据要素市场繁荣发展。加强与上海数据交易所及长三角其他地区数据交易平台的合作，实现数据跨区域流通。</w:t>
      </w:r>
    </w:p>
    <w:p w14:paraId="1A810729">
      <w:pPr>
        <w:pStyle w:val="14"/>
        <w:bidi w:val="0"/>
        <w:rPr>
          <w:rFonts w:hint="default"/>
          <w:color w:val="auto"/>
          <w:spacing w:val="0"/>
          <w:sz w:val="30"/>
          <w:szCs w:val="30"/>
          <w:highlight w:val="none"/>
          <w:lang w:val="en-US" w:eastAsia="zh-CN"/>
        </w:rPr>
      </w:pPr>
      <w:bookmarkStart w:id="418" w:name="_Toc13220"/>
      <w:bookmarkStart w:id="419" w:name="_Toc205207142"/>
      <w:bookmarkStart w:id="420" w:name="_Toc14195"/>
      <w:bookmarkStart w:id="421" w:name="_Toc7402"/>
      <w:bookmarkStart w:id="422" w:name="_Toc7920"/>
      <w:bookmarkStart w:id="423" w:name="_Toc205363218"/>
      <w:bookmarkStart w:id="424" w:name="_Toc13508"/>
      <w:r>
        <w:rPr>
          <w:rFonts w:hint="eastAsia" w:ascii="楷体_GB2312" w:hAnsi="楷体_GB2312" w:eastAsia="楷体_GB2312" w:cs="楷体_GB2312"/>
          <w:b/>
          <w:bCs/>
          <w:spacing w:val="0"/>
          <w:highlight w:val="none"/>
        </w:rPr>
        <w:t>推动数据应用创新，催生新业态新模式</w:t>
      </w:r>
      <w:bookmarkEnd w:id="418"/>
      <w:bookmarkEnd w:id="419"/>
      <w:bookmarkEnd w:id="420"/>
      <w:bookmarkEnd w:id="421"/>
      <w:bookmarkEnd w:id="422"/>
      <w:bookmarkEnd w:id="423"/>
      <w:bookmarkEnd w:id="424"/>
      <w:r>
        <w:rPr>
          <w:rFonts w:hint="eastAsia" w:ascii="楷体_GB2312" w:hAnsi="楷体_GB2312" w:eastAsia="楷体_GB2312" w:cs="楷体_GB2312"/>
          <w:b/>
          <w:bCs/>
          <w:spacing w:val="0"/>
          <w:highlight w:val="none"/>
          <w:lang w:eastAsia="zh-CN"/>
        </w:rPr>
        <w:t>。</w:t>
      </w:r>
      <w:r>
        <w:rPr>
          <w:color w:val="auto"/>
          <w:spacing w:val="0"/>
          <w:sz w:val="30"/>
          <w:szCs w:val="30"/>
          <w:highlight w:val="none"/>
        </w:rPr>
        <w:t>推动数据在生态保护、农业生产、城市治理等领域的创新应用，支持基于数据的分析预测、决策支持等系统开发。鼓励企业利用数据资源开展商业模式创新，培育数据驱动型企业。</w:t>
      </w:r>
      <w:r>
        <w:rPr>
          <w:rFonts w:hint="eastAsia"/>
          <w:color w:val="auto"/>
          <w:spacing w:val="0"/>
          <w:sz w:val="30"/>
          <w:szCs w:val="30"/>
          <w:highlight w:val="none"/>
          <w:lang w:val="en-US" w:eastAsia="zh-CN"/>
        </w:rPr>
        <w:t>推动</w:t>
      </w:r>
      <w:r>
        <w:rPr>
          <w:color w:val="auto"/>
          <w:spacing w:val="0"/>
          <w:sz w:val="30"/>
          <w:szCs w:val="30"/>
          <w:highlight w:val="none"/>
        </w:rPr>
        <w:t>数据创新应用示范，推广数据应用创新成果，为上海数据要素市场化发展提供实践样本。</w:t>
      </w:r>
      <w:r>
        <w:rPr>
          <w:rFonts w:hint="eastAsia"/>
          <w:color w:val="auto"/>
          <w:spacing w:val="0"/>
          <w:sz w:val="30"/>
          <w:szCs w:val="30"/>
          <w:highlight w:val="none"/>
          <w:lang w:val="en-US" w:eastAsia="zh-CN"/>
        </w:rPr>
        <w:t>鼓励发展数据赋能服务商，通过数字化工具赋能传统企业，为企业数字化转型提供关键支撑。</w:t>
      </w:r>
    </w:p>
    <w:p w14:paraId="3A4DA784">
      <w:pPr>
        <w:pStyle w:val="4"/>
        <w:keepNext w:val="0"/>
        <w:keepLines w:val="0"/>
        <w:pageBreakBefore w:val="0"/>
        <w:widowControl w:val="0"/>
        <w:kinsoku/>
        <w:wordWrap/>
        <w:overflowPunct/>
        <w:topLinePunct w:val="0"/>
        <w:autoSpaceDE/>
        <w:autoSpaceDN/>
        <w:bidi w:val="0"/>
        <w:snapToGrid/>
        <w:spacing w:line="560" w:lineRule="exact"/>
        <w:jc w:val="both"/>
        <w:textAlignment w:val="auto"/>
        <w:rPr>
          <w:rFonts w:hint="default"/>
          <w:color w:val="auto"/>
          <w:spacing w:val="0"/>
          <w:sz w:val="32"/>
          <w:szCs w:val="32"/>
          <w:highlight w:val="none"/>
          <w:lang w:val="en-US" w:eastAsia="zh-CN"/>
        </w:rPr>
      </w:pPr>
      <w:bookmarkStart w:id="425" w:name="_Toc19092"/>
      <w:r>
        <w:rPr>
          <w:rFonts w:hint="eastAsia"/>
          <w:color w:val="auto"/>
          <w:spacing w:val="0"/>
          <w:sz w:val="32"/>
          <w:szCs w:val="32"/>
          <w:highlight w:val="none"/>
          <w:lang w:val="en-US" w:eastAsia="zh-CN"/>
        </w:rPr>
        <w:t>二、搭建多元协同赋能平台，推动人工智能</w:t>
      </w:r>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color w:val="auto"/>
          <w:spacing w:val="0"/>
          <w:sz w:val="32"/>
          <w:szCs w:val="32"/>
          <w:highlight w:val="none"/>
          <w:lang w:val="en-US" w:eastAsia="zh-CN"/>
        </w:rPr>
        <w:t>产业发展</w:t>
      </w:r>
      <w:bookmarkEnd w:id="425"/>
    </w:p>
    <w:p w14:paraId="39EBBE71">
      <w:pPr>
        <w:pStyle w:val="14"/>
        <w:bidi w:val="0"/>
        <w:rPr>
          <w:spacing w:val="0"/>
          <w:highlight w:val="none"/>
        </w:rPr>
      </w:pPr>
      <w:bookmarkStart w:id="426" w:name="_Toc22462"/>
      <w:bookmarkStart w:id="427" w:name="_Toc7190"/>
      <w:bookmarkStart w:id="428" w:name="_Toc5645"/>
      <w:bookmarkStart w:id="429" w:name="_Toc205207131"/>
      <w:bookmarkStart w:id="430" w:name="_Toc205363207"/>
      <w:bookmarkStart w:id="431" w:name="_Toc32536"/>
      <w:bookmarkStart w:id="432" w:name="_Toc16782"/>
      <w:r>
        <w:rPr>
          <w:rFonts w:hint="eastAsia" w:ascii="楷体_GB2312" w:hAnsi="楷体_GB2312" w:eastAsia="楷体_GB2312" w:cs="楷体_GB2312"/>
          <w:b/>
          <w:bCs/>
          <w:spacing w:val="0"/>
          <w:highlight w:val="none"/>
        </w:rPr>
        <w:t>突破核心算法，布局生态领域AI创新</w:t>
      </w:r>
      <w:bookmarkEnd w:id="426"/>
      <w:bookmarkEnd w:id="427"/>
      <w:bookmarkEnd w:id="428"/>
      <w:bookmarkEnd w:id="429"/>
      <w:bookmarkEnd w:id="430"/>
      <w:bookmarkEnd w:id="431"/>
      <w:bookmarkEnd w:id="432"/>
      <w:r>
        <w:rPr>
          <w:rFonts w:hint="eastAsia" w:ascii="楷体_GB2312" w:hAnsi="楷体_GB2312" w:eastAsia="楷体_GB2312" w:cs="楷体_GB2312"/>
          <w:b/>
          <w:bCs/>
          <w:spacing w:val="0"/>
          <w:highlight w:val="none"/>
          <w:lang w:eastAsia="zh-CN"/>
        </w:rPr>
        <w:t>。</w:t>
      </w:r>
      <w:r>
        <w:rPr>
          <w:spacing w:val="0"/>
          <w:highlight w:val="none"/>
        </w:rPr>
        <w:t>紧跟国家人工智能发展战略，聚焦计算机视觉、自然语言处理、机器学习等领域，支持企业和科研机构开展核心算法研发，在生态监测、农业生产等特色场景形成一批自主可控的AI技术案例。依托上海交通大学、上外贤达等高校科研力量建设人工智能联合实验室，</w:t>
      </w:r>
      <w:r>
        <w:rPr>
          <w:color w:val="auto"/>
          <w:spacing w:val="0"/>
          <w:highlight w:val="none"/>
        </w:rPr>
        <w:t>布局</w:t>
      </w:r>
      <w:r>
        <w:rPr>
          <w:rFonts w:hint="eastAsia"/>
          <w:color w:val="auto"/>
          <w:spacing w:val="0"/>
          <w:highlight w:val="none"/>
          <w:lang w:eastAsia="zh-CN"/>
        </w:rPr>
        <w:t>“</w:t>
      </w:r>
      <w:r>
        <w:rPr>
          <w:color w:val="auto"/>
          <w:spacing w:val="0"/>
          <w:highlight w:val="none"/>
        </w:rPr>
        <w:t>人工智能+生态</w:t>
      </w:r>
      <w:r>
        <w:rPr>
          <w:rFonts w:hint="eastAsia"/>
          <w:color w:val="auto"/>
          <w:spacing w:val="0"/>
          <w:highlight w:val="none"/>
          <w:lang w:eastAsia="zh-CN"/>
        </w:rPr>
        <w:t>”“</w:t>
      </w:r>
      <w:r>
        <w:rPr>
          <w:color w:val="auto"/>
          <w:spacing w:val="0"/>
          <w:highlight w:val="none"/>
        </w:rPr>
        <w:t>人工智能+农业</w:t>
      </w:r>
      <w:r>
        <w:rPr>
          <w:rFonts w:hint="eastAsia"/>
          <w:color w:val="auto"/>
          <w:spacing w:val="0"/>
          <w:highlight w:val="none"/>
          <w:lang w:eastAsia="zh-CN"/>
        </w:rPr>
        <w:t>”</w:t>
      </w:r>
      <w:r>
        <w:rPr>
          <w:color w:val="auto"/>
          <w:spacing w:val="0"/>
          <w:highlight w:val="none"/>
        </w:rPr>
        <w:t>创新赛道</w:t>
      </w:r>
      <w:r>
        <w:rPr>
          <w:spacing w:val="0"/>
          <w:highlight w:val="none"/>
        </w:rPr>
        <w:t>。支持AI初创企业发展，对获得国家级人工智能大赛奖项的企业给予</w:t>
      </w:r>
      <w:r>
        <w:rPr>
          <w:rFonts w:hint="eastAsia"/>
          <w:spacing w:val="0"/>
          <w:highlight w:val="none"/>
          <w:lang w:val="en-US" w:eastAsia="zh-CN"/>
        </w:rPr>
        <w:t>扶持</w:t>
      </w:r>
      <w:r>
        <w:rPr>
          <w:spacing w:val="0"/>
          <w:highlight w:val="none"/>
        </w:rPr>
        <w:t>。</w:t>
      </w:r>
    </w:p>
    <w:p w14:paraId="50B8063D">
      <w:pPr>
        <w:pStyle w:val="14"/>
        <w:bidi w:val="0"/>
        <w:rPr>
          <w:spacing w:val="0"/>
          <w:highlight w:val="none"/>
        </w:rPr>
      </w:pPr>
      <w:bookmarkStart w:id="433" w:name="_Toc3547"/>
      <w:bookmarkStart w:id="434" w:name="_Toc205207132"/>
      <w:bookmarkStart w:id="435" w:name="_Toc27974"/>
      <w:bookmarkStart w:id="436" w:name="_Toc3940"/>
      <w:bookmarkStart w:id="437" w:name="_Toc22535"/>
      <w:bookmarkStart w:id="438" w:name="_Toc205363208"/>
      <w:bookmarkStart w:id="439" w:name="_Toc26725"/>
      <w:r>
        <w:rPr>
          <w:rFonts w:hint="eastAsia" w:ascii="楷体_GB2312" w:hAnsi="楷体_GB2312" w:eastAsia="楷体_GB2312" w:cs="楷体_GB2312"/>
          <w:b/>
          <w:bCs/>
          <w:spacing w:val="0"/>
          <w:highlight w:val="none"/>
        </w:rPr>
        <w:t>拓展特色场景，深化“AI+”应用</w:t>
      </w:r>
      <w:bookmarkEnd w:id="433"/>
      <w:bookmarkEnd w:id="434"/>
      <w:bookmarkEnd w:id="435"/>
      <w:bookmarkEnd w:id="436"/>
      <w:bookmarkEnd w:id="437"/>
      <w:bookmarkEnd w:id="438"/>
      <w:bookmarkEnd w:id="439"/>
      <w:r>
        <w:rPr>
          <w:rFonts w:hint="eastAsia" w:ascii="楷体_GB2312" w:hAnsi="楷体_GB2312" w:eastAsia="楷体_GB2312" w:cs="楷体_GB2312"/>
          <w:b/>
          <w:bCs/>
          <w:spacing w:val="0"/>
          <w:highlight w:val="none"/>
          <w:lang w:eastAsia="zh-CN"/>
        </w:rPr>
        <w:t>。</w:t>
      </w:r>
      <w:r>
        <w:rPr>
          <w:spacing w:val="0"/>
          <w:highlight w:val="none"/>
        </w:rPr>
        <w:t>在生态领域，</w:t>
      </w:r>
      <w:r>
        <w:rPr>
          <w:rFonts w:hint="eastAsia"/>
          <w:spacing w:val="0"/>
          <w:highlight w:val="none"/>
          <w:lang w:val="en-US" w:eastAsia="zh-CN"/>
        </w:rPr>
        <w:t>开发</w:t>
      </w:r>
      <w:r>
        <w:rPr>
          <w:spacing w:val="0"/>
          <w:highlight w:val="none"/>
        </w:rPr>
        <w:t>基于AI的湿地生态监测系统、鸟类识别与追踪系统，实现对东滩鸟类国家级自然保护区等重点区域的智能化管理。在农业领域，推广智能病虫害识别、精准施肥、产量预测等AI应用，</w:t>
      </w:r>
      <w:r>
        <w:rPr>
          <w:color w:val="auto"/>
          <w:spacing w:val="0"/>
          <w:highlight w:val="none"/>
        </w:rPr>
        <w:t>建设AI+智慧农业基地</w:t>
      </w:r>
      <w:r>
        <w:rPr>
          <w:spacing w:val="0"/>
          <w:highlight w:val="none"/>
        </w:rPr>
        <w:t>，提升农业生产效率。在城市治理领域，深化“机器看视频”应用，开发垃圾分类、违停检测、人群聚集预警等AI模型，提升城市治理精细化水平，为</w:t>
      </w:r>
      <w:r>
        <w:rPr>
          <w:rFonts w:hint="eastAsia"/>
          <w:color w:val="auto"/>
          <w:spacing w:val="0"/>
          <w:highlight w:val="none"/>
          <w:lang w:val="en-US" w:eastAsia="zh-CN"/>
        </w:rPr>
        <w:t>数字上海</w:t>
      </w:r>
      <w:r>
        <w:rPr>
          <w:spacing w:val="0"/>
          <w:highlight w:val="none"/>
        </w:rPr>
        <w:t>建设提供崇明经验。</w:t>
      </w:r>
    </w:p>
    <w:p w14:paraId="1DB49FD0">
      <w:pPr>
        <w:pStyle w:val="14"/>
        <w:bidi w:val="0"/>
        <w:rPr>
          <w:spacing w:val="0"/>
          <w:highlight w:val="none"/>
        </w:rPr>
      </w:pPr>
      <w:bookmarkStart w:id="440" w:name="_Toc15361"/>
      <w:bookmarkStart w:id="441" w:name="_Toc20912"/>
      <w:bookmarkStart w:id="442" w:name="_Toc14764"/>
      <w:bookmarkStart w:id="443" w:name="_Toc205363209"/>
      <w:bookmarkStart w:id="444" w:name="_Toc14212"/>
      <w:bookmarkStart w:id="445" w:name="_Toc29008"/>
      <w:bookmarkStart w:id="446" w:name="_Toc205207133"/>
      <w:r>
        <w:rPr>
          <w:rFonts w:hint="eastAsia" w:ascii="楷体_GB2312" w:hAnsi="楷体_GB2312" w:eastAsia="楷体_GB2312" w:cs="楷体_GB2312"/>
          <w:b/>
          <w:bCs/>
          <w:spacing w:val="0"/>
          <w:highlight w:val="none"/>
        </w:rPr>
        <w:t>构建产业生态，集聚AI创新资源要素</w:t>
      </w:r>
      <w:bookmarkEnd w:id="440"/>
      <w:bookmarkEnd w:id="441"/>
      <w:bookmarkEnd w:id="442"/>
      <w:bookmarkEnd w:id="443"/>
      <w:bookmarkEnd w:id="444"/>
      <w:bookmarkEnd w:id="445"/>
      <w:bookmarkEnd w:id="446"/>
      <w:r>
        <w:rPr>
          <w:rFonts w:hint="eastAsia" w:ascii="楷体_GB2312" w:hAnsi="楷体_GB2312" w:eastAsia="楷体_GB2312" w:cs="楷体_GB2312"/>
          <w:b/>
          <w:bCs/>
          <w:spacing w:val="0"/>
          <w:highlight w:val="none"/>
          <w:lang w:eastAsia="zh-CN"/>
        </w:rPr>
        <w:t>。</w:t>
      </w:r>
      <w:r>
        <w:rPr>
          <w:rFonts w:hint="eastAsia"/>
          <w:spacing w:val="0"/>
          <w:highlight w:val="none"/>
          <w:lang w:val="en-US" w:eastAsia="zh-CN"/>
        </w:rPr>
        <w:t>依托智慧岛数据产业园</w:t>
      </w:r>
      <w:r>
        <w:rPr>
          <w:spacing w:val="0"/>
          <w:highlight w:val="none"/>
        </w:rPr>
        <w:t>，吸引AI芯片、</w:t>
      </w:r>
      <w:r>
        <w:rPr>
          <w:rFonts w:hint="eastAsia"/>
          <w:color w:val="auto"/>
          <w:spacing w:val="0"/>
          <w:highlight w:val="none"/>
          <w:lang w:val="en-US" w:eastAsia="zh-CN"/>
        </w:rPr>
        <w:t>模型</w:t>
      </w:r>
      <w:r>
        <w:rPr>
          <w:color w:val="auto"/>
          <w:spacing w:val="0"/>
          <w:highlight w:val="none"/>
        </w:rPr>
        <w:t>算法</w:t>
      </w:r>
      <w:r>
        <w:rPr>
          <w:spacing w:val="0"/>
          <w:highlight w:val="none"/>
        </w:rPr>
        <w:t>、应用解决方案等产业链企业入驻，形成完整的AI产业生态。举办区域人工智能创新大赛，搭建技术交流、成果展示、项目对接平台，吸引创新团队参赛。推动人工智能与实体经济深度融合，培育AI融合应用标杆企业，形成可复制、可推广的融合模式，助力上海打造人工智能产业高地。</w:t>
      </w:r>
    </w:p>
    <w:p w14:paraId="6DF3732C">
      <w:pPr>
        <w:pStyle w:val="4"/>
        <w:keepNext w:val="0"/>
        <w:keepLines w:val="0"/>
        <w:pageBreakBefore w:val="0"/>
        <w:widowControl w:val="0"/>
        <w:kinsoku/>
        <w:wordWrap/>
        <w:overflowPunct/>
        <w:topLinePunct w:val="0"/>
        <w:autoSpaceDE/>
        <w:autoSpaceDN/>
        <w:bidi w:val="0"/>
        <w:snapToGrid/>
        <w:spacing w:line="560" w:lineRule="exact"/>
        <w:jc w:val="both"/>
        <w:textAlignment w:val="auto"/>
        <w:rPr>
          <w:rFonts w:hint="eastAsia"/>
          <w:color w:val="auto"/>
          <w:spacing w:val="0"/>
          <w:sz w:val="32"/>
          <w:szCs w:val="32"/>
          <w:highlight w:val="none"/>
          <w:lang w:val="en-US" w:eastAsia="zh-CN"/>
        </w:rPr>
      </w:pPr>
      <w:bookmarkStart w:id="447" w:name="_Toc8470"/>
      <w:bookmarkStart w:id="448" w:name="_Toc7943"/>
      <w:bookmarkStart w:id="449" w:name="_Toc27645"/>
      <w:bookmarkStart w:id="450" w:name="_Toc30874"/>
      <w:bookmarkStart w:id="451" w:name="_Toc4579"/>
      <w:bookmarkStart w:id="452" w:name="_Toc205207135"/>
      <w:bookmarkStart w:id="453" w:name="_Toc205363211"/>
      <w:bookmarkStart w:id="454" w:name="_Toc21010"/>
      <w:r>
        <w:rPr>
          <w:rFonts w:hint="eastAsia"/>
          <w:color w:val="auto"/>
          <w:spacing w:val="0"/>
          <w:sz w:val="32"/>
          <w:szCs w:val="32"/>
          <w:highlight w:val="none"/>
          <w:lang w:val="en-US" w:eastAsia="zh-CN"/>
        </w:rPr>
        <w:t>三、打造绿色算力产业枢纽，</w:t>
      </w:r>
      <w:bookmarkStart w:id="455" w:name="_Toc10486"/>
      <w:bookmarkStart w:id="456" w:name="_Toc6466"/>
      <w:bookmarkStart w:id="457" w:name="_Toc189"/>
      <w:bookmarkStart w:id="458" w:name="_Toc5220"/>
      <w:r>
        <w:rPr>
          <w:rFonts w:hint="eastAsia"/>
          <w:color w:val="auto"/>
          <w:spacing w:val="0"/>
          <w:sz w:val="32"/>
          <w:szCs w:val="32"/>
          <w:highlight w:val="none"/>
          <w:lang w:val="en-US" w:eastAsia="zh-CN"/>
        </w:rPr>
        <w:t>夯实数字经济发展根基</w:t>
      </w:r>
      <w:bookmarkEnd w:id="447"/>
      <w:bookmarkEnd w:id="455"/>
      <w:bookmarkEnd w:id="456"/>
      <w:bookmarkEnd w:id="457"/>
      <w:bookmarkEnd w:id="458"/>
    </w:p>
    <w:p w14:paraId="40477316">
      <w:pPr>
        <w:pStyle w:val="14"/>
        <w:bidi w:val="0"/>
        <w:rPr>
          <w:color w:val="auto"/>
          <w:spacing w:val="0"/>
          <w:sz w:val="30"/>
          <w:szCs w:val="30"/>
          <w:highlight w:val="none"/>
        </w:rPr>
      </w:pPr>
      <w:r>
        <w:rPr>
          <w:rFonts w:hint="eastAsia" w:ascii="楷体_GB2312" w:hAnsi="楷体_GB2312" w:eastAsia="楷体_GB2312" w:cs="楷体_GB2312"/>
          <w:b/>
          <w:bCs/>
          <w:spacing w:val="0"/>
          <w:highlight w:val="none"/>
        </w:rPr>
        <w:t>升级算力基础设施，打造低碳算力集群</w:t>
      </w:r>
      <w:bookmarkEnd w:id="448"/>
      <w:bookmarkEnd w:id="449"/>
      <w:bookmarkEnd w:id="450"/>
      <w:bookmarkEnd w:id="451"/>
      <w:bookmarkEnd w:id="452"/>
      <w:bookmarkEnd w:id="453"/>
      <w:bookmarkEnd w:id="454"/>
      <w:r>
        <w:rPr>
          <w:rFonts w:hint="eastAsia" w:ascii="楷体_GB2312" w:hAnsi="楷体_GB2312" w:eastAsia="楷体_GB2312" w:cs="楷体_GB2312"/>
          <w:b/>
          <w:bCs/>
          <w:spacing w:val="0"/>
          <w:highlight w:val="none"/>
          <w:lang w:eastAsia="zh-CN"/>
        </w:rPr>
        <w:t>。</w:t>
      </w:r>
      <w:r>
        <w:rPr>
          <w:rFonts w:hint="eastAsia"/>
          <w:spacing w:val="0"/>
          <w:highlight w:val="none"/>
        </w:rPr>
        <w:t>创新算力服务模式，打造普惠共享算力环境</w:t>
      </w:r>
      <w:r>
        <w:rPr>
          <w:rFonts w:hint="eastAsia"/>
          <w:color w:val="auto"/>
          <w:spacing w:val="0"/>
          <w:sz w:val="30"/>
          <w:szCs w:val="30"/>
          <w:highlight w:val="none"/>
          <w:lang w:eastAsia="zh-CN"/>
        </w:rPr>
        <w:t>，</w:t>
      </w:r>
      <w:r>
        <w:rPr>
          <w:color w:val="auto"/>
          <w:spacing w:val="0"/>
          <w:sz w:val="30"/>
          <w:szCs w:val="30"/>
          <w:highlight w:val="none"/>
        </w:rPr>
        <w:t>优化算力</w:t>
      </w:r>
      <w:r>
        <w:rPr>
          <w:rFonts w:hint="eastAsia"/>
          <w:color w:val="auto"/>
          <w:spacing w:val="0"/>
          <w:sz w:val="30"/>
          <w:szCs w:val="30"/>
          <w:highlight w:val="none"/>
          <w:lang w:val="en-US" w:eastAsia="zh-CN"/>
        </w:rPr>
        <w:t>产业</w:t>
      </w:r>
      <w:r>
        <w:rPr>
          <w:color w:val="auto"/>
          <w:spacing w:val="0"/>
          <w:sz w:val="30"/>
          <w:szCs w:val="30"/>
          <w:highlight w:val="none"/>
        </w:rPr>
        <w:t>布局</w:t>
      </w:r>
      <w:r>
        <w:rPr>
          <w:rFonts w:hint="eastAsia"/>
          <w:spacing w:val="0"/>
          <w:highlight w:val="none"/>
          <w:lang w:eastAsia="zh-CN"/>
        </w:rPr>
        <w:t>。</w:t>
      </w:r>
      <w:r>
        <w:rPr>
          <w:rFonts w:hint="eastAsia"/>
          <w:color w:val="auto"/>
          <w:spacing w:val="0"/>
          <w:highlight w:val="none"/>
          <w:lang w:val="en-US" w:eastAsia="zh-CN"/>
        </w:rPr>
        <w:t>深化上海市数字公共服务中心（东滩）服务，</w:t>
      </w:r>
      <w:r>
        <w:rPr>
          <w:color w:val="auto"/>
          <w:spacing w:val="0"/>
          <w:sz w:val="30"/>
          <w:szCs w:val="30"/>
          <w:highlight w:val="none"/>
        </w:rPr>
        <w:t>在智慧岛数据产业园基础上，</w:t>
      </w:r>
      <w:r>
        <w:rPr>
          <w:rFonts w:hint="eastAsia"/>
          <w:color w:val="auto"/>
          <w:spacing w:val="0"/>
          <w:sz w:val="30"/>
          <w:szCs w:val="30"/>
          <w:highlight w:val="none"/>
          <w:lang w:val="en-US" w:eastAsia="zh-CN"/>
        </w:rPr>
        <w:t>全力争取</w:t>
      </w:r>
      <w:r>
        <w:rPr>
          <w:color w:val="auto"/>
          <w:spacing w:val="0"/>
          <w:sz w:val="30"/>
          <w:szCs w:val="30"/>
          <w:highlight w:val="none"/>
        </w:rPr>
        <w:t>上海市</w:t>
      </w:r>
      <w:r>
        <w:rPr>
          <w:rFonts w:hint="eastAsia"/>
          <w:color w:val="auto"/>
          <w:spacing w:val="0"/>
          <w:sz w:val="30"/>
          <w:szCs w:val="30"/>
          <w:highlight w:val="none"/>
          <w:lang w:val="en-US" w:eastAsia="zh-CN"/>
        </w:rPr>
        <w:t>零碳</w:t>
      </w:r>
      <w:r>
        <w:rPr>
          <w:color w:val="auto"/>
          <w:spacing w:val="0"/>
          <w:sz w:val="30"/>
          <w:szCs w:val="30"/>
          <w:highlight w:val="none"/>
        </w:rPr>
        <w:t>算力产业园</w:t>
      </w:r>
      <w:r>
        <w:rPr>
          <w:rFonts w:hint="eastAsia"/>
          <w:color w:val="auto"/>
          <w:spacing w:val="0"/>
          <w:sz w:val="30"/>
          <w:szCs w:val="30"/>
          <w:highlight w:val="none"/>
          <w:lang w:val="en-US" w:eastAsia="zh-CN"/>
        </w:rPr>
        <w:t>落地崇明</w:t>
      </w:r>
      <w:r>
        <w:rPr>
          <w:color w:val="auto"/>
          <w:spacing w:val="0"/>
          <w:sz w:val="30"/>
          <w:szCs w:val="30"/>
          <w:highlight w:val="none"/>
        </w:rPr>
        <w:t>。</w:t>
      </w:r>
      <w:r>
        <w:rPr>
          <w:rFonts w:hint="eastAsia"/>
          <w:color w:val="auto"/>
          <w:spacing w:val="0"/>
          <w:highlight w:val="none"/>
        </w:rPr>
        <w:t>推进晋通光学超算中心建设，为AI智算、生态模拟、产业研发等提供算力支撑。</w:t>
      </w:r>
      <w:r>
        <w:rPr>
          <w:color w:val="auto"/>
          <w:spacing w:val="0"/>
          <w:sz w:val="30"/>
          <w:szCs w:val="30"/>
          <w:highlight w:val="none"/>
        </w:rPr>
        <w:t>推动算力中心绿色化改造，PUE值控制在1.15以下，践行崇明绿色发展理念。依托算力调度平台实现跨区域算力资源协同调度，提高算力资源利用率，降低企业用算成本。</w:t>
      </w:r>
      <w:bookmarkStart w:id="459" w:name="_Toc28166"/>
      <w:bookmarkStart w:id="460" w:name="_Toc7928"/>
      <w:bookmarkStart w:id="461" w:name="_Toc29512"/>
      <w:bookmarkStart w:id="462" w:name="_Toc205207137"/>
      <w:bookmarkStart w:id="463" w:name="_Toc205363213"/>
      <w:bookmarkStart w:id="464" w:name="_Toc27053"/>
      <w:bookmarkStart w:id="465" w:name="_Toc16894"/>
    </w:p>
    <w:p w14:paraId="4236217C">
      <w:pPr>
        <w:pStyle w:val="14"/>
        <w:bidi w:val="0"/>
        <w:rPr>
          <w:color w:val="auto"/>
          <w:spacing w:val="0"/>
          <w:sz w:val="30"/>
          <w:szCs w:val="30"/>
          <w:highlight w:val="none"/>
        </w:rPr>
      </w:pPr>
      <w:r>
        <w:rPr>
          <w:rFonts w:hint="eastAsia" w:ascii="楷体_GB2312" w:hAnsi="楷体_GB2312" w:eastAsia="楷体_GB2312" w:cs="楷体_GB2312"/>
          <w:b/>
          <w:bCs/>
          <w:spacing w:val="0"/>
          <w:highlight w:val="none"/>
        </w:rPr>
        <w:t>深化算力融合应用，赋能生态与产业发展</w:t>
      </w:r>
      <w:bookmarkEnd w:id="459"/>
      <w:bookmarkEnd w:id="460"/>
      <w:bookmarkEnd w:id="461"/>
      <w:bookmarkEnd w:id="462"/>
      <w:bookmarkEnd w:id="463"/>
      <w:bookmarkEnd w:id="464"/>
      <w:bookmarkEnd w:id="465"/>
      <w:r>
        <w:rPr>
          <w:rFonts w:hint="eastAsia" w:ascii="楷体_GB2312" w:hAnsi="楷体_GB2312" w:eastAsia="楷体_GB2312" w:cs="楷体_GB2312"/>
          <w:b/>
          <w:bCs/>
          <w:spacing w:val="0"/>
          <w:highlight w:val="none"/>
          <w:lang w:eastAsia="zh-CN"/>
        </w:rPr>
        <w:t>。</w:t>
      </w:r>
      <w:r>
        <w:rPr>
          <w:color w:val="auto"/>
          <w:spacing w:val="0"/>
          <w:sz w:val="30"/>
          <w:szCs w:val="30"/>
          <w:highlight w:val="none"/>
        </w:rPr>
        <w:t>培育算力服务龙头企业，提供算力租赁、云服务、数据存储等多元化服务，满足不同行业的算力需求。面向中小企业推出“算力券”</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模型券</w:t>
      </w:r>
      <w:r>
        <w:rPr>
          <w:rFonts w:hint="eastAsia"/>
          <w:color w:val="auto"/>
          <w:spacing w:val="0"/>
          <w:sz w:val="30"/>
          <w:szCs w:val="30"/>
          <w:highlight w:val="none"/>
          <w:lang w:eastAsia="zh-CN"/>
        </w:rPr>
        <w:t>”“</w:t>
      </w:r>
      <w:r>
        <w:rPr>
          <w:rFonts w:hint="eastAsia"/>
          <w:color w:val="auto"/>
          <w:spacing w:val="0"/>
          <w:sz w:val="30"/>
          <w:szCs w:val="30"/>
          <w:highlight w:val="none"/>
          <w:lang w:val="en-US" w:eastAsia="zh-CN"/>
        </w:rPr>
        <w:t>语料券”等配套支持政策</w:t>
      </w:r>
      <w:r>
        <w:rPr>
          <w:color w:val="auto"/>
          <w:spacing w:val="0"/>
          <w:sz w:val="30"/>
          <w:szCs w:val="30"/>
          <w:highlight w:val="none"/>
        </w:rPr>
        <w:t>，降低企业使用高端算力的门槛。</w:t>
      </w:r>
      <w:r>
        <w:rPr>
          <w:rFonts w:hint="eastAsia"/>
          <w:color w:val="auto"/>
          <w:spacing w:val="0"/>
          <w:sz w:val="30"/>
          <w:szCs w:val="30"/>
          <w:highlight w:val="none"/>
          <w:lang w:val="en-US" w:eastAsia="zh-CN"/>
        </w:rPr>
        <w:t>推动</w:t>
      </w:r>
      <w:r>
        <w:rPr>
          <w:color w:val="auto"/>
          <w:spacing w:val="0"/>
          <w:sz w:val="30"/>
          <w:szCs w:val="30"/>
          <w:highlight w:val="none"/>
        </w:rPr>
        <w:t>算力在生态监测中的应用，利用高性能计算能力模拟生态环境变化，为生态保护决策提供科学支撑。推动算力与海洋经济融合，支持长兴海洋装备产业基地利用算力开展船舶设计、海洋工程仿真等，</w:t>
      </w:r>
      <w:r>
        <w:rPr>
          <w:rFonts w:hint="eastAsia"/>
          <w:color w:val="auto"/>
          <w:spacing w:val="0"/>
          <w:sz w:val="30"/>
          <w:szCs w:val="30"/>
          <w:highlight w:val="none"/>
          <w:lang w:val="en-US" w:eastAsia="zh-CN"/>
        </w:rPr>
        <w:t>推动</w:t>
      </w:r>
      <w:r>
        <w:rPr>
          <w:color w:val="auto"/>
          <w:spacing w:val="0"/>
          <w:sz w:val="30"/>
          <w:szCs w:val="30"/>
          <w:highlight w:val="none"/>
        </w:rPr>
        <w:t>产业研发效率</w:t>
      </w:r>
      <w:r>
        <w:rPr>
          <w:rFonts w:hint="eastAsia"/>
          <w:color w:val="auto"/>
          <w:spacing w:val="0"/>
          <w:sz w:val="30"/>
          <w:szCs w:val="30"/>
          <w:highlight w:val="none"/>
          <w:lang w:val="en-US" w:eastAsia="zh-CN"/>
        </w:rPr>
        <w:t>提升</w:t>
      </w:r>
      <w:r>
        <w:rPr>
          <w:color w:val="auto"/>
          <w:spacing w:val="0"/>
          <w:sz w:val="30"/>
          <w:szCs w:val="30"/>
          <w:highlight w:val="none"/>
        </w:rPr>
        <w:t>。</w:t>
      </w:r>
      <w:r>
        <w:rPr>
          <w:rFonts w:hint="eastAsia"/>
          <w:color w:val="auto"/>
          <w:spacing w:val="0"/>
          <w:sz w:val="30"/>
          <w:szCs w:val="30"/>
          <w:highlight w:val="none"/>
          <w:lang w:val="en-US" w:eastAsia="zh-CN"/>
        </w:rPr>
        <w:t>推进</w:t>
      </w:r>
      <w:r>
        <w:rPr>
          <w:color w:val="auto"/>
          <w:spacing w:val="0"/>
          <w:sz w:val="30"/>
          <w:szCs w:val="30"/>
          <w:highlight w:val="none"/>
        </w:rPr>
        <w:t>“算力+”农业创新中心</w:t>
      </w:r>
      <w:r>
        <w:rPr>
          <w:rFonts w:hint="eastAsia"/>
          <w:color w:val="auto"/>
          <w:spacing w:val="0"/>
          <w:sz w:val="30"/>
          <w:szCs w:val="30"/>
          <w:highlight w:val="none"/>
          <w:lang w:val="en-US" w:eastAsia="zh-CN"/>
        </w:rPr>
        <w:t>建设</w:t>
      </w:r>
      <w:r>
        <w:rPr>
          <w:color w:val="auto"/>
          <w:spacing w:val="0"/>
          <w:sz w:val="30"/>
          <w:szCs w:val="30"/>
          <w:highlight w:val="none"/>
        </w:rPr>
        <w:t>，利用算力开展农作物育种模拟、气候适应性分析等，加快农业科技创新步伐，推动崇明农业现代化。</w:t>
      </w:r>
    </w:p>
    <w:p w14:paraId="0E8E84E4">
      <w:pPr>
        <w:pStyle w:val="14"/>
        <w:bidi w:val="0"/>
        <w:rPr>
          <w:spacing w:val="0"/>
          <w:highlight w:val="none"/>
        </w:rPr>
      </w:pPr>
      <w:bookmarkStart w:id="466" w:name="_Toc19368"/>
      <w:bookmarkStart w:id="467" w:name="_Toc32566"/>
      <w:bookmarkStart w:id="468" w:name="_Toc14311"/>
      <w:bookmarkStart w:id="469" w:name="_Toc18706"/>
      <w:bookmarkStart w:id="470" w:name="_Toc31852"/>
      <w:bookmarkStart w:id="471" w:name="_Toc205207138"/>
      <w:bookmarkStart w:id="472" w:name="_Toc205363214"/>
      <w:r>
        <w:rPr>
          <w:rFonts w:hint="eastAsia" w:ascii="楷体_GB2312" w:hAnsi="楷体_GB2312" w:eastAsia="楷体_GB2312" w:cs="楷体_GB2312"/>
          <w:b/>
          <w:bCs/>
          <w:spacing w:val="0"/>
          <w:highlight w:val="none"/>
        </w:rPr>
        <w:t>新型基建安全加固，提升算力中心抗风险韧性</w:t>
      </w:r>
      <w:r>
        <w:rPr>
          <w:rFonts w:hint="eastAsia" w:ascii="楷体_GB2312" w:hAnsi="楷体_GB2312" w:eastAsia="楷体_GB2312" w:cs="楷体_GB2312"/>
          <w:b/>
          <w:bCs/>
          <w:spacing w:val="0"/>
          <w:highlight w:val="none"/>
          <w:lang w:eastAsia="zh-CN"/>
        </w:rPr>
        <w:t>。</w:t>
      </w:r>
      <w:r>
        <w:rPr>
          <w:spacing w:val="0"/>
          <w:highlight w:val="none"/>
        </w:rPr>
        <w:t>建设分布式光伏电站，采用“光伏+储能”供电模式保障算力中心能源安全。构建绿色算力安全体系，在上海市算力产业园部署量子加密传输通道，实现算力数据传输“零泄密”。建立算力资源调度安全机制，防止恶意抢占算力资源，保障关键任务的算力稳定。提升通信网络抗毁能力，在东滩湿地等生态敏感区采用抗干扰基站设备，保障极端天气下通信畅通。推进卫星通信备份网络建设，在横沙岛、长兴岛等区域部署卫星地面站，实现“天地一体”通信冗余。</w:t>
      </w:r>
    </w:p>
    <w:p w14:paraId="619F3280">
      <w:pPr>
        <w:pStyle w:val="4"/>
        <w:keepNext w:val="0"/>
        <w:keepLines w:val="0"/>
        <w:pageBreakBefore w:val="0"/>
        <w:widowControl w:val="0"/>
        <w:kinsoku/>
        <w:wordWrap/>
        <w:overflowPunct/>
        <w:topLinePunct w:val="0"/>
        <w:autoSpaceDE/>
        <w:autoSpaceDN/>
        <w:bidi w:val="0"/>
        <w:snapToGrid/>
        <w:spacing w:line="560" w:lineRule="exact"/>
        <w:jc w:val="both"/>
        <w:textAlignment w:val="auto"/>
        <w:rPr>
          <w:rFonts w:hint="eastAsia"/>
          <w:color w:val="auto"/>
          <w:spacing w:val="0"/>
          <w:sz w:val="32"/>
          <w:szCs w:val="32"/>
          <w:highlight w:val="none"/>
          <w:lang w:val="en-US" w:eastAsia="zh-CN"/>
        </w:rPr>
      </w:pPr>
      <w:bookmarkStart w:id="473" w:name="_Toc24304"/>
      <w:r>
        <w:rPr>
          <w:rFonts w:hint="eastAsia"/>
          <w:color w:val="auto"/>
          <w:spacing w:val="0"/>
          <w:sz w:val="32"/>
          <w:szCs w:val="32"/>
          <w:highlight w:val="none"/>
          <w:lang w:val="en-US" w:eastAsia="zh-CN"/>
        </w:rPr>
        <w:t>四、培育软件信息产业生态，赋能产业发展提质增效</w:t>
      </w:r>
      <w:bookmarkEnd w:id="473"/>
    </w:p>
    <w:bookmarkEnd w:id="466"/>
    <w:bookmarkEnd w:id="467"/>
    <w:bookmarkEnd w:id="468"/>
    <w:bookmarkEnd w:id="469"/>
    <w:bookmarkEnd w:id="470"/>
    <w:bookmarkEnd w:id="471"/>
    <w:bookmarkEnd w:id="472"/>
    <w:p w14:paraId="3066F96D">
      <w:pPr>
        <w:pStyle w:val="14"/>
        <w:keepNext w:val="0"/>
        <w:keepLines w:val="0"/>
        <w:pageBreakBefore w:val="0"/>
        <w:widowControl w:val="0"/>
        <w:kinsoku/>
        <w:wordWrap/>
        <w:overflowPunct/>
        <w:topLinePunct w:val="0"/>
        <w:autoSpaceDE/>
        <w:autoSpaceDN/>
        <w:bidi w:val="0"/>
        <w:snapToGrid/>
        <w:spacing w:line="560" w:lineRule="exact"/>
        <w:jc w:val="both"/>
        <w:textAlignment w:val="auto"/>
        <w:rPr>
          <w:color w:val="auto"/>
          <w:spacing w:val="0"/>
          <w:sz w:val="30"/>
          <w:szCs w:val="30"/>
          <w:highlight w:val="none"/>
        </w:rPr>
      </w:pPr>
      <w:r>
        <w:rPr>
          <w:rFonts w:hint="eastAsia" w:ascii="楷体_GB2312" w:hAnsi="楷体_GB2312" w:eastAsia="楷体_GB2312" w:cs="楷体_GB2312"/>
          <w:b/>
          <w:bCs/>
          <w:color w:val="auto"/>
          <w:spacing w:val="0"/>
          <w:sz w:val="30"/>
          <w:szCs w:val="30"/>
          <w:highlight w:val="none"/>
        </w:rPr>
        <w:t>培育本土软</w:t>
      </w:r>
      <w:r>
        <w:rPr>
          <w:rFonts w:hint="eastAsia" w:ascii="楷体_GB2312" w:hAnsi="楷体_GB2312" w:eastAsia="楷体_GB2312" w:cs="楷体_GB2312"/>
          <w:b/>
          <w:bCs/>
          <w:color w:val="auto"/>
          <w:spacing w:val="0"/>
          <w:sz w:val="30"/>
          <w:szCs w:val="30"/>
          <w:highlight w:val="none"/>
          <w:lang w:val="en-US" w:eastAsia="zh-CN"/>
        </w:rPr>
        <w:t>信</w:t>
      </w:r>
      <w:r>
        <w:rPr>
          <w:rFonts w:hint="eastAsia" w:ascii="楷体_GB2312" w:hAnsi="楷体_GB2312" w:eastAsia="楷体_GB2312" w:cs="楷体_GB2312"/>
          <w:b/>
          <w:bCs/>
          <w:color w:val="auto"/>
          <w:spacing w:val="0"/>
          <w:sz w:val="30"/>
          <w:szCs w:val="30"/>
          <w:highlight w:val="none"/>
        </w:rPr>
        <w:t>企业，聚焦生态领域创新</w:t>
      </w:r>
      <w:r>
        <w:rPr>
          <w:rFonts w:hint="eastAsia" w:ascii="楷体_GB2312" w:hAnsi="楷体_GB2312" w:eastAsia="楷体_GB2312" w:cs="楷体_GB2312"/>
          <w:b/>
          <w:bCs/>
          <w:color w:val="auto"/>
          <w:spacing w:val="0"/>
          <w:sz w:val="30"/>
          <w:szCs w:val="30"/>
          <w:highlight w:val="none"/>
          <w:lang w:eastAsia="zh-CN"/>
        </w:rPr>
        <w:t>。</w:t>
      </w:r>
      <w:r>
        <w:rPr>
          <w:color w:val="auto"/>
          <w:spacing w:val="0"/>
          <w:sz w:val="30"/>
          <w:szCs w:val="30"/>
          <w:highlight w:val="none"/>
        </w:rPr>
        <w:t>紧扣国家鼓励发展的软件领域，聚焦生态监测、智慧农业、绿色低碳等符合崇明生态岛定位且契合上海产业转型方向的领域，培育一批专业化特色软</w:t>
      </w:r>
      <w:r>
        <w:rPr>
          <w:rFonts w:hint="eastAsia"/>
          <w:color w:val="auto"/>
          <w:spacing w:val="0"/>
          <w:sz w:val="30"/>
          <w:szCs w:val="30"/>
          <w:highlight w:val="none"/>
          <w:lang w:val="en-US" w:eastAsia="zh-CN"/>
        </w:rPr>
        <w:t>信</w:t>
      </w:r>
      <w:r>
        <w:rPr>
          <w:color w:val="auto"/>
          <w:spacing w:val="0"/>
          <w:sz w:val="30"/>
          <w:szCs w:val="30"/>
          <w:highlight w:val="none"/>
        </w:rPr>
        <w:t>企业。积极响应国家产学研合作政策，支持软</w:t>
      </w:r>
      <w:r>
        <w:rPr>
          <w:rFonts w:hint="eastAsia"/>
          <w:color w:val="auto"/>
          <w:spacing w:val="0"/>
          <w:sz w:val="30"/>
          <w:szCs w:val="30"/>
          <w:highlight w:val="none"/>
          <w:lang w:val="en-US" w:eastAsia="zh-CN"/>
        </w:rPr>
        <w:t>信</w:t>
      </w:r>
      <w:r>
        <w:rPr>
          <w:color w:val="auto"/>
          <w:spacing w:val="0"/>
          <w:sz w:val="30"/>
          <w:szCs w:val="30"/>
          <w:highlight w:val="none"/>
        </w:rPr>
        <w:t>企业与上海交通大学、上外贤达等高校建立合作关系，推动软</w:t>
      </w:r>
      <w:r>
        <w:rPr>
          <w:rFonts w:hint="eastAsia"/>
          <w:color w:val="auto"/>
          <w:spacing w:val="0"/>
          <w:sz w:val="30"/>
          <w:szCs w:val="30"/>
          <w:highlight w:val="none"/>
          <w:lang w:val="en-US" w:eastAsia="zh-CN"/>
        </w:rPr>
        <w:t>信</w:t>
      </w:r>
      <w:r>
        <w:rPr>
          <w:color w:val="auto"/>
          <w:spacing w:val="0"/>
          <w:sz w:val="30"/>
          <w:szCs w:val="30"/>
          <w:highlight w:val="none"/>
        </w:rPr>
        <w:t>技术成果在崇明转化应用。落实</w:t>
      </w:r>
      <w:r>
        <w:rPr>
          <w:rFonts w:hint="eastAsia"/>
          <w:color w:val="auto"/>
          <w:spacing w:val="0"/>
          <w:sz w:val="30"/>
          <w:szCs w:val="30"/>
          <w:highlight w:val="none"/>
          <w:lang w:val="en-US" w:eastAsia="zh-CN"/>
        </w:rPr>
        <w:t>本</w:t>
      </w:r>
      <w:r>
        <w:rPr>
          <w:color w:val="auto"/>
          <w:spacing w:val="0"/>
          <w:sz w:val="30"/>
          <w:szCs w:val="30"/>
          <w:highlight w:val="none"/>
        </w:rPr>
        <w:t>市梯度培育政策，实施软</w:t>
      </w:r>
      <w:r>
        <w:rPr>
          <w:rFonts w:hint="eastAsia"/>
          <w:color w:val="auto"/>
          <w:spacing w:val="0"/>
          <w:sz w:val="30"/>
          <w:szCs w:val="30"/>
          <w:highlight w:val="none"/>
          <w:lang w:val="en-US" w:eastAsia="zh-CN"/>
        </w:rPr>
        <w:t>信</w:t>
      </w:r>
      <w:r>
        <w:rPr>
          <w:color w:val="auto"/>
          <w:spacing w:val="0"/>
          <w:sz w:val="30"/>
          <w:szCs w:val="30"/>
          <w:highlight w:val="none"/>
        </w:rPr>
        <w:t>企业梯度培育计划，重点培育国家规划布局</w:t>
      </w:r>
      <w:r>
        <w:rPr>
          <w:rFonts w:hint="eastAsia"/>
          <w:color w:val="auto"/>
          <w:spacing w:val="0"/>
          <w:sz w:val="30"/>
          <w:szCs w:val="30"/>
          <w:highlight w:val="none"/>
          <w:lang w:val="en-US" w:eastAsia="zh-CN"/>
        </w:rPr>
        <w:t>方向的</w:t>
      </w:r>
      <w:r>
        <w:rPr>
          <w:color w:val="auto"/>
          <w:spacing w:val="0"/>
          <w:sz w:val="30"/>
          <w:szCs w:val="30"/>
          <w:highlight w:val="none"/>
        </w:rPr>
        <w:t>软</w:t>
      </w:r>
      <w:r>
        <w:rPr>
          <w:rFonts w:hint="eastAsia"/>
          <w:color w:val="auto"/>
          <w:spacing w:val="0"/>
          <w:sz w:val="30"/>
          <w:szCs w:val="30"/>
          <w:highlight w:val="none"/>
          <w:lang w:val="en-US" w:eastAsia="zh-CN"/>
        </w:rPr>
        <w:t>信</w:t>
      </w:r>
      <w:r>
        <w:rPr>
          <w:color w:val="auto"/>
          <w:spacing w:val="0"/>
          <w:sz w:val="30"/>
          <w:szCs w:val="30"/>
          <w:highlight w:val="none"/>
        </w:rPr>
        <w:t>企业。</w:t>
      </w:r>
    </w:p>
    <w:p w14:paraId="7434FFCC">
      <w:pPr>
        <w:pStyle w:val="14"/>
        <w:bidi w:val="0"/>
        <w:rPr>
          <w:color w:val="auto"/>
          <w:spacing w:val="0"/>
          <w:sz w:val="30"/>
          <w:szCs w:val="30"/>
          <w:highlight w:val="none"/>
        </w:rPr>
      </w:pPr>
      <w:bookmarkStart w:id="474" w:name="_Toc12505"/>
      <w:bookmarkStart w:id="475" w:name="_Toc17723"/>
      <w:bookmarkStart w:id="476" w:name="_Toc22061"/>
      <w:bookmarkStart w:id="477" w:name="_Toc32427"/>
      <w:r>
        <w:rPr>
          <w:rFonts w:hint="eastAsia" w:ascii="楷体_GB2312" w:hAnsi="楷体_GB2312" w:eastAsia="楷体_GB2312" w:cs="楷体_GB2312"/>
          <w:b/>
          <w:bCs/>
          <w:spacing w:val="0"/>
          <w:highlight w:val="none"/>
          <w:lang w:val="en-US" w:eastAsia="zh-CN"/>
        </w:rPr>
        <w:t>打造</w:t>
      </w:r>
      <w:r>
        <w:rPr>
          <w:rFonts w:hint="eastAsia" w:ascii="楷体_GB2312" w:hAnsi="楷体_GB2312" w:eastAsia="楷体_GB2312" w:cs="楷体_GB2312"/>
          <w:b/>
          <w:bCs/>
          <w:spacing w:val="0"/>
          <w:highlight w:val="none"/>
        </w:rPr>
        <w:t>行业</w:t>
      </w:r>
      <w:r>
        <w:rPr>
          <w:rFonts w:hint="eastAsia" w:ascii="楷体_GB2312" w:hAnsi="楷体_GB2312" w:eastAsia="楷体_GB2312" w:cs="楷体_GB2312"/>
          <w:b/>
          <w:bCs/>
          <w:spacing w:val="0"/>
          <w:highlight w:val="none"/>
          <w:lang w:val="en-US" w:eastAsia="zh-CN"/>
        </w:rPr>
        <w:t>应用体系</w:t>
      </w:r>
      <w:r>
        <w:rPr>
          <w:rFonts w:hint="eastAsia" w:ascii="楷体_GB2312" w:hAnsi="楷体_GB2312" w:eastAsia="楷体_GB2312" w:cs="楷体_GB2312"/>
          <w:b/>
          <w:bCs/>
          <w:spacing w:val="0"/>
          <w:highlight w:val="none"/>
        </w:rPr>
        <w:t>，赋能产业数字化转型</w:t>
      </w:r>
      <w:bookmarkEnd w:id="474"/>
      <w:bookmarkEnd w:id="475"/>
      <w:bookmarkEnd w:id="476"/>
      <w:bookmarkEnd w:id="477"/>
      <w:r>
        <w:rPr>
          <w:rFonts w:hint="eastAsia" w:ascii="楷体_GB2312" w:hAnsi="楷体_GB2312" w:eastAsia="楷体_GB2312" w:cs="楷体_GB2312"/>
          <w:b/>
          <w:bCs/>
          <w:spacing w:val="0"/>
          <w:highlight w:val="none"/>
          <w:lang w:eastAsia="zh-CN"/>
        </w:rPr>
        <w:t>。</w:t>
      </w:r>
      <w:r>
        <w:rPr>
          <w:color w:val="auto"/>
          <w:spacing w:val="0"/>
          <w:sz w:val="30"/>
          <w:szCs w:val="30"/>
          <w:highlight w:val="none"/>
        </w:rPr>
        <w:t>按照国家生态保护政策，围绕生态环境保护，支持涵盖大气、水、土壤、湿地等要素的监测与治理一体化软件解决方案研发。契合农业现代化发展方向，针对智慧农业发展需求，鼓励打造从种源培育、生产管理到流通销售的全链条软件服务体系，在长三角农业硅谷建设农业软件创新中心。推动软件解决方案与实体经济融合，培育软件赋能行业转型的典型案例，为上海乃至全国提供示范。</w:t>
      </w:r>
    </w:p>
    <w:p w14:paraId="4028D3D2">
      <w:pPr>
        <w:pStyle w:val="14"/>
        <w:bidi w:val="0"/>
        <w:rPr>
          <w:color w:val="auto"/>
          <w:spacing w:val="0"/>
          <w:sz w:val="30"/>
          <w:szCs w:val="30"/>
          <w:highlight w:val="none"/>
        </w:rPr>
      </w:pPr>
      <w:bookmarkStart w:id="478" w:name="_Toc10913"/>
      <w:bookmarkStart w:id="479" w:name="_Toc28707"/>
      <w:bookmarkStart w:id="480" w:name="_Toc20997"/>
      <w:bookmarkStart w:id="481" w:name="_Toc10699"/>
      <w:r>
        <w:rPr>
          <w:rFonts w:hint="eastAsia" w:ascii="楷体_GB2312" w:hAnsi="楷体_GB2312" w:eastAsia="楷体_GB2312" w:cs="楷体_GB2312"/>
          <w:b/>
          <w:bCs/>
          <w:spacing w:val="0"/>
          <w:highlight w:val="none"/>
        </w:rPr>
        <w:t>推动服务外包升级，拓展长三角合作空间</w:t>
      </w:r>
      <w:bookmarkEnd w:id="478"/>
      <w:bookmarkEnd w:id="479"/>
      <w:bookmarkEnd w:id="480"/>
      <w:bookmarkEnd w:id="481"/>
      <w:r>
        <w:rPr>
          <w:rFonts w:hint="eastAsia" w:ascii="楷体_GB2312" w:hAnsi="楷体_GB2312" w:eastAsia="楷体_GB2312" w:cs="楷体_GB2312"/>
          <w:b/>
          <w:bCs/>
          <w:spacing w:val="0"/>
          <w:highlight w:val="none"/>
          <w:lang w:eastAsia="zh-CN"/>
        </w:rPr>
        <w:t>。</w:t>
      </w:r>
      <w:r>
        <w:rPr>
          <w:color w:val="auto"/>
          <w:spacing w:val="0"/>
          <w:sz w:val="30"/>
          <w:szCs w:val="30"/>
          <w:highlight w:val="none"/>
        </w:rPr>
        <w:t>依托崇明生态优势，结合上海服务贸易发展规划，吸引国内外软件服务外包企业设立区域性总部或交付中心，重点发展软件开发、测试、维护等外包业务。建设</w:t>
      </w:r>
      <w:r>
        <w:rPr>
          <w:rFonts w:hint="eastAsia"/>
          <w:color w:val="auto"/>
          <w:spacing w:val="0"/>
          <w:sz w:val="30"/>
          <w:szCs w:val="30"/>
          <w:highlight w:val="none"/>
          <w:lang w:val="en-US" w:eastAsia="zh-CN"/>
        </w:rPr>
        <w:t>长兴软件信息产业园</w:t>
      </w:r>
      <w:r>
        <w:rPr>
          <w:color w:val="auto"/>
          <w:spacing w:val="0"/>
          <w:sz w:val="30"/>
          <w:szCs w:val="30"/>
          <w:highlight w:val="none"/>
        </w:rPr>
        <w:t>，完善办公、通信、生活等配套设施</w:t>
      </w:r>
      <w:r>
        <w:rPr>
          <w:rFonts w:hint="eastAsia"/>
          <w:color w:val="auto"/>
          <w:spacing w:val="0"/>
          <w:sz w:val="30"/>
          <w:szCs w:val="30"/>
          <w:highlight w:val="none"/>
          <w:lang w:val="en-US" w:eastAsia="zh-CN"/>
        </w:rPr>
        <w:t>建设</w:t>
      </w:r>
      <w:r>
        <w:rPr>
          <w:color w:val="auto"/>
          <w:spacing w:val="0"/>
          <w:sz w:val="30"/>
          <w:szCs w:val="30"/>
          <w:highlight w:val="none"/>
        </w:rPr>
        <w:t>，集聚</w:t>
      </w:r>
      <w:r>
        <w:rPr>
          <w:rFonts w:hint="eastAsia"/>
          <w:color w:val="auto"/>
          <w:spacing w:val="0"/>
          <w:sz w:val="30"/>
          <w:szCs w:val="30"/>
          <w:highlight w:val="none"/>
          <w:lang w:val="en-US" w:eastAsia="zh-CN"/>
        </w:rPr>
        <w:t>相关</w:t>
      </w:r>
      <w:r>
        <w:rPr>
          <w:color w:val="auto"/>
          <w:spacing w:val="0"/>
          <w:sz w:val="30"/>
          <w:szCs w:val="30"/>
          <w:highlight w:val="none"/>
        </w:rPr>
        <w:t>企业</w:t>
      </w:r>
      <w:r>
        <w:rPr>
          <w:rFonts w:hint="eastAsia"/>
          <w:color w:val="auto"/>
          <w:spacing w:val="0"/>
          <w:sz w:val="30"/>
          <w:szCs w:val="30"/>
          <w:highlight w:val="none"/>
          <w:lang w:val="en-US" w:eastAsia="zh-CN"/>
        </w:rPr>
        <w:t>入驻</w:t>
      </w:r>
      <w:r>
        <w:rPr>
          <w:color w:val="auto"/>
          <w:spacing w:val="0"/>
          <w:sz w:val="30"/>
          <w:szCs w:val="30"/>
          <w:highlight w:val="none"/>
        </w:rPr>
        <w:t>。加强与上海张江、陆家嘴等区域的合作，承接金融、航运等领域的高端软件外包业务，提升服务外包产业能级</w:t>
      </w:r>
      <w:r>
        <w:rPr>
          <w:rFonts w:hint="eastAsia"/>
          <w:color w:val="auto"/>
          <w:spacing w:val="0"/>
          <w:sz w:val="30"/>
          <w:szCs w:val="30"/>
          <w:highlight w:val="none"/>
          <w:lang w:eastAsia="zh-CN"/>
        </w:rPr>
        <w:t>。</w:t>
      </w:r>
    </w:p>
    <w:p w14:paraId="4B33978F">
      <w:pPr>
        <w:pStyle w:val="3"/>
        <w:keepNext w:val="0"/>
        <w:keepLines w:val="0"/>
        <w:pageBreakBefore w:val="0"/>
        <w:widowControl w:val="0"/>
        <w:numPr>
          <w:ilvl w:val="0"/>
          <w:numId w:val="0"/>
        </w:numPr>
        <w:kinsoku/>
        <w:wordWrap/>
        <w:overflowPunct/>
        <w:topLinePunct w:val="0"/>
        <w:autoSpaceDE/>
        <w:autoSpaceDN/>
        <w:bidi w:val="0"/>
        <w:adjustRightInd/>
        <w:snapToGrid/>
        <w:ind w:left="638" w:leftChars="0"/>
        <w:jc w:val="center"/>
        <w:textAlignment w:val="auto"/>
        <w:rPr>
          <w:rFonts w:hint="eastAsia"/>
          <w:spacing w:val="0"/>
          <w:highlight w:val="none"/>
          <w:lang w:eastAsia="zh-CN"/>
        </w:rPr>
        <w:sectPr>
          <w:pgSz w:w="11906" w:h="16838"/>
          <w:pgMar w:top="1962" w:right="1499" w:bottom="1848" w:left="1587" w:header="851" w:footer="992" w:gutter="0"/>
          <w:pgBorders>
            <w:top w:val="none" w:sz="0" w:space="0"/>
            <w:left w:val="none" w:sz="0" w:space="0"/>
            <w:bottom w:val="none" w:sz="0" w:space="0"/>
            <w:right w:val="none" w:sz="0" w:space="0"/>
          </w:pgBorders>
          <w:pgNumType w:fmt="decimal" w:start="1"/>
          <w:cols w:space="720" w:num="1"/>
          <w:docGrid w:type="linesAndChars" w:linePitch="592" w:charSpace="-842"/>
        </w:sectPr>
      </w:pPr>
      <w:bookmarkStart w:id="482" w:name="_Toc1232409361"/>
      <w:bookmarkStart w:id="483" w:name="_Toc30950"/>
      <w:bookmarkStart w:id="484" w:name="_Toc3919"/>
      <w:bookmarkStart w:id="485" w:name="_Toc2346"/>
      <w:bookmarkStart w:id="486" w:name="_Toc7347"/>
      <w:bookmarkStart w:id="487" w:name="_Toc8631"/>
      <w:bookmarkStart w:id="488" w:name="_Toc1120775259"/>
      <w:bookmarkStart w:id="489" w:name="_Toc24918"/>
      <w:bookmarkStart w:id="490" w:name="_Toc1587745922"/>
      <w:bookmarkStart w:id="491" w:name="_Toc8278"/>
      <w:bookmarkStart w:id="492" w:name="_Toc205207143"/>
      <w:bookmarkStart w:id="493" w:name="_Toc205363219"/>
      <w:bookmarkStart w:id="494" w:name="_Toc12478"/>
    </w:p>
    <w:p w14:paraId="4648B1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0"/>
        <w:jc w:val="center"/>
        <w:textAlignment w:val="auto"/>
        <w:rPr>
          <w:spacing w:val="0"/>
          <w:highlight w:val="none"/>
        </w:rPr>
      </w:pPr>
      <w:bookmarkStart w:id="495" w:name="_Toc13553"/>
      <w:r>
        <w:rPr>
          <w:rFonts w:hint="eastAsia"/>
          <w:spacing w:val="0"/>
          <w:highlight w:val="none"/>
          <w:lang w:eastAsia="zh-CN"/>
        </w:rPr>
        <w:t>第六章、</w:t>
      </w:r>
      <w:r>
        <w:rPr>
          <w:spacing w:val="0"/>
          <w:highlight w:val="none"/>
        </w:rPr>
        <w:t>强化保障措施，护航数字崇明行稳致远</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FD5C7CB">
      <w:pPr>
        <w:pStyle w:val="4"/>
        <w:bidi w:val="0"/>
        <w:spacing w:line="360" w:lineRule="auto"/>
        <w:rPr>
          <w:color w:val="auto"/>
          <w:spacing w:val="0"/>
          <w:highlight w:val="none"/>
        </w:rPr>
      </w:pPr>
      <w:bookmarkStart w:id="496" w:name="_Toc19164"/>
      <w:bookmarkStart w:id="497" w:name="_Toc25277"/>
      <w:bookmarkStart w:id="498" w:name="_Toc1594537731"/>
      <w:bookmarkStart w:id="499" w:name="_Toc17129"/>
      <w:bookmarkStart w:id="500" w:name="_Toc1932648828"/>
      <w:bookmarkStart w:id="501" w:name="_Toc11679"/>
      <w:bookmarkStart w:id="502" w:name="_Toc27923"/>
      <w:bookmarkStart w:id="503" w:name="_Toc18744"/>
      <w:bookmarkStart w:id="504" w:name="_Toc6142"/>
      <w:bookmarkStart w:id="505" w:name="_Toc10658"/>
      <w:bookmarkStart w:id="506" w:name="_Toc1127635645"/>
      <w:bookmarkStart w:id="507" w:name="_Toc4869"/>
      <w:r>
        <w:rPr>
          <w:rFonts w:hint="eastAsia"/>
          <w:color w:val="auto"/>
          <w:spacing w:val="0"/>
          <w:highlight w:val="none"/>
          <w:lang w:eastAsia="zh-CN"/>
        </w:rPr>
        <w:t>一、</w:t>
      </w:r>
      <w:r>
        <w:rPr>
          <w:rFonts w:hint="default"/>
          <w:color w:val="auto"/>
          <w:spacing w:val="0"/>
          <w:highlight w:val="none"/>
        </w:rPr>
        <w:t>健全协同推进机制，凝聚数字发展合力</w:t>
      </w:r>
      <w:bookmarkEnd w:id="496"/>
      <w:bookmarkEnd w:id="497"/>
      <w:bookmarkEnd w:id="498"/>
      <w:bookmarkEnd w:id="499"/>
      <w:bookmarkEnd w:id="500"/>
      <w:bookmarkEnd w:id="501"/>
      <w:bookmarkEnd w:id="502"/>
      <w:bookmarkEnd w:id="503"/>
      <w:bookmarkEnd w:id="504"/>
      <w:bookmarkEnd w:id="505"/>
      <w:bookmarkEnd w:id="506"/>
      <w:bookmarkEnd w:id="507"/>
    </w:p>
    <w:p w14:paraId="1FC96B1C">
      <w:pPr>
        <w:pStyle w:val="14"/>
        <w:keepNext w:val="0"/>
        <w:keepLines w:val="0"/>
        <w:pageBreakBefore w:val="0"/>
        <w:widowControl w:val="0"/>
        <w:kinsoku/>
        <w:wordWrap/>
        <w:overflowPunct/>
        <w:topLinePunct w:val="0"/>
        <w:autoSpaceDE/>
        <w:autoSpaceDN/>
        <w:bidi w:val="0"/>
        <w:snapToGrid/>
        <w:spacing w:line="560" w:lineRule="exact"/>
        <w:jc w:val="both"/>
        <w:textAlignment w:val="auto"/>
        <w:rPr>
          <w:color w:val="auto"/>
          <w:spacing w:val="0"/>
          <w:sz w:val="30"/>
          <w:szCs w:val="30"/>
          <w:highlight w:val="none"/>
        </w:rPr>
      </w:pPr>
      <w:r>
        <w:rPr>
          <w:rFonts w:hint="eastAsia"/>
          <w:color w:val="auto"/>
          <w:spacing w:val="0"/>
          <w:sz w:val="30"/>
          <w:szCs w:val="30"/>
          <w:highlight w:val="none"/>
        </w:rPr>
        <w:t>围绕数字包容发展，建立跨部门数字化工作协调</w:t>
      </w:r>
      <w:r>
        <w:rPr>
          <w:rFonts w:hint="eastAsia"/>
          <w:color w:val="auto"/>
          <w:spacing w:val="0"/>
          <w:sz w:val="30"/>
          <w:szCs w:val="30"/>
          <w:highlight w:val="none"/>
          <w:lang w:val="en-US" w:eastAsia="zh-CN"/>
        </w:rPr>
        <w:t>机制</w:t>
      </w:r>
      <w:r>
        <w:rPr>
          <w:rFonts w:hint="eastAsia"/>
          <w:color w:val="auto"/>
          <w:spacing w:val="0"/>
          <w:sz w:val="30"/>
          <w:szCs w:val="30"/>
          <w:highlight w:val="none"/>
        </w:rPr>
        <w:t>，破除部门壁垒，统筹解决</w:t>
      </w:r>
      <w:r>
        <w:rPr>
          <w:rFonts w:hint="eastAsia"/>
          <w:color w:val="auto"/>
          <w:spacing w:val="0"/>
          <w:sz w:val="30"/>
          <w:szCs w:val="30"/>
          <w:highlight w:val="none"/>
          <w:lang w:val="en-US" w:eastAsia="zh-CN"/>
        </w:rPr>
        <w:t>数字化</w:t>
      </w:r>
      <w:r>
        <w:rPr>
          <w:rFonts w:hint="eastAsia"/>
          <w:color w:val="auto"/>
          <w:spacing w:val="0"/>
          <w:sz w:val="30"/>
          <w:szCs w:val="30"/>
          <w:highlight w:val="none"/>
        </w:rPr>
        <w:t>转型重大问题；同步构建政府、企业、社会组织三方协同治理模式，鼓励多元主体参与数字崇明建设。强化人才支撑，通过校企合作建立数字人才培养基地，定向输送适配本地需求的数字化专业人才；深化区域联动，推动生态数据共享、跨域政务服务及数字产业协同的制度衔接，构建兼容互认规则体系。建立与上海市数据管理部门常态化对接机制，争取特色数据流通、低碳算力建设等领域先行先试权限</w:t>
      </w:r>
      <w:r>
        <w:rPr>
          <w:rFonts w:hint="eastAsia"/>
          <w:color w:val="auto"/>
          <w:spacing w:val="0"/>
          <w:sz w:val="30"/>
          <w:szCs w:val="30"/>
          <w:highlight w:val="none"/>
          <w:lang w:eastAsia="zh-CN"/>
        </w:rPr>
        <w:t>。</w:t>
      </w:r>
      <w:r>
        <w:rPr>
          <w:rFonts w:hint="eastAsia"/>
          <w:color w:val="auto"/>
          <w:spacing w:val="0"/>
          <w:sz w:val="30"/>
          <w:szCs w:val="30"/>
          <w:highlight w:val="none"/>
        </w:rPr>
        <w:t>同步发挥行业协会、企业联盟桥梁作用，搭建“政府引导、市场主导、社会参与”的协同平台，凝聚发展合力</w:t>
      </w:r>
      <w:r>
        <w:rPr>
          <w:color w:val="auto"/>
          <w:spacing w:val="0"/>
          <w:sz w:val="30"/>
          <w:szCs w:val="30"/>
          <w:highlight w:val="none"/>
        </w:rPr>
        <w:t>。</w:t>
      </w:r>
    </w:p>
    <w:p w14:paraId="6C2CF4D4">
      <w:pPr>
        <w:pStyle w:val="4"/>
        <w:bidi w:val="0"/>
        <w:rPr>
          <w:color w:val="auto"/>
          <w:spacing w:val="0"/>
          <w:highlight w:val="none"/>
        </w:rPr>
      </w:pPr>
      <w:bookmarkStart w:id="508" w:name="_Toc2364"/>
      <w:bookmarkStart w:id="509" w:name="_Toc30477"/>
      <w:bookmarkStart w:id="510" w:name="_Toc14340"/>
      <w:bookmarkStart w:id="511" w:name="_Toc18510"/>
      <w:bookmarkStart w:id="512" w:name="_Toc797230724"/>
      <w:bookmarkStart w:id="513" w:name="_Toc27987"/>
      <w:bookmarkStart w:id="514" w:name="_Toc1903"/>
      <w:bookmarkStart w:id="515" w:name="_Toc21986"/>
      <w:bookmarkStart w:id="516" w:name="_Toc15026"/>
      <w:bookmarkStart w:id="517" w:name="_Toc24087"/>
      <w:bookmarkStart w:id="518" w:name="_Toc2098046308"/>
      <w:bookmarkStart w:id="519" w:name="_Toc97267318"/>
      <w:r>
        <w:rPr>
          <w:rFonts w:hint="eastAsia"/>
          <w:color w:val="auto"/>
          <w:spacing w:val="0"/>
          <w:highlight w:val="none"/>
          <w:lang w:eastAsia="zh-CN"/>
        </w:rPr>
        <w:t>二、</w:t>
      </w:r>
      <w:r>
        <w:rPr>
          <w:rFonts w:hint="default"/>
          <w:color w:val="auto"/>
          <w:spacing w:val="0"/>
          <w:highlight w:val="none"/>
        </w:rPr>
        <w:t>优化政策支持体系，激活转型内生动力</w:t>
      </w:r>
      <w:bookmarkEnd w:id="508"/>
      <w:bookmarkEnd w:id="509"/>
      <w:bookmarkEnd w:id="510"/>
      <w:bookmarkEnd w:id="511"/>
      <w:bookmarkEnd w:id="512"/>
      <w:bookmarkEnd w:id="513"/>
      <w:bookmarkEnd w:id="514"/>
      <w:bookmarkEnd w:id="515"/>
      <w:bookmarkEnd w:id="516"/>
      <w:bookmarkEnd w:id="517"/>
      <w:bookmarkEnd w:id="518"/>
      <w:bookmarkEnd w:id="519"/>
    </w:p>
    <w:p w14:paraId="2BE66D30">
      <w:pPr>
        <w:pStyle w:val="14"/>
        <w:keepNext w:val="0"/>
        <w:keepLines w:val="0"/>
        <w:pageBreakBefore w:val="0"/>
        <w:widowControl w:val="0"/>
        <w:kinsoku/>
        <w:wordWrap/>
        <w:overflowPunct/>
        <w:topLinePunct w:val="0"/>
        <w:autoSpaceDE/>
        <w:autoSpaceDN/>
        <w:bidi w:val="0"/>
        <w:snapToGrid/>
        <w:spacing w:line="560" w:lineRule="exact"/>
        <w:jc w:val="both"/>
        <w:textAlignment w:val="auto"/>
        <w:rPr>
          <w:color w:val="auto"/>
          <w:spacing w:val="0"/>
          <w:sz w:val="30"/>
          <w:szCs w:val="30"/>
          <w:highlight w:val="none"/>
        </w:rPr>
      </w:pPr>
      <w:r>
        <w:rPr>
          <w:color w:val="auto"/>
          <w:spacing w:val="0"/>
          <w:sz w:val="30"/>
          <w:szCs w:val="30"/>
          <w:highlight w:val="none"/>
        </w:rPr>
        <w:t>研究制定支持数字产业集群建设、数商生态培育、数据要素流通、数实融合场景创新、数字人才引育、公共数据开发利用等方面的政策措施。</w:t>
      </w:r>
      <w:r>
        <w:rPr>
          <w:rFonts w:hint="eastAsia"/>
          <w:color w:val="auto"/>
          <w:spacing w:val="0"/>
          <w:sz w:val="30"/>
          <w:szCs w:val="30"/>
          <w:highlight w:val="none"/>
          <w:lang w:val="en-US" w:eastAsia="zh-CN"/>
        </w:rPr>
        <w:t>结合崇明实际，完善数字公共服务体系，持续投入数字公共服务建设，打造高水平、普惠性的数字公共服务，塑造区域数字竞争新优势。</w:t>
      </w:r>
      <w:r>
        <w:rPr>
          <w:color w:val="auto"/>
          <w:spacing w:val="0"/>
          <w:sz w:val="30"/>
          <w:szCs w:val="30"/>
          <w:highlight w:val="none"/>
        </w:rPr>
        <w:t>强化数字技术创新策源，在关键数字技术自主创新、国产化应用等方面给予政策支持。针对生态农业数字化、智慧文旅等特色领域，设立专项扶持资金，鼓励企业加大研发投入，推动数字技术与传统产业深度融合。</w:t>
      </w:r>
      <w:r>
        <w:rPr>
          <w:rFonts w:hint="eastAsia"/>
          <w:color w:val="auto"/>
          <w:spacing w:val="0"/>
          <w:sz w:val="30"/>
          <w:szCs w:val="30"/>
          <w:highlight w:val="none"/>
          <w:lang w:eastAsia="zh-CN"/>
        </w:rPr>
        <w:t>对新</w:t>
      </w:r>
      <w:r>
        <w:rPr>
          <w:color w:val="auto"/>
          <w:spacing w:val="0"/>
          <w:sz w:val="30"/>
          <w:szCs w:val="30"/>
          <w:highlight w:val="none"/>
        </w:rPr>
        <w:t>引入的数字经济领军企业和创新型中小企业，给予</w:t>
      </w:r>
      <w:r>
        <w:rPr>
          <w:rFonts w:hint="eastAsia"/>
          <w:color w:val="auto"/>
          <w:spacing w:val="0"/>
          <w:sz w:val="30"/>
          <w:szCs w:val="30"/>
          <w:highlight w:val="none"/>
          <w:lang w:val="en-US" w:eastAsia="zh-CN"/>
        </w:rPr>
        <w:t>政策扶持</w:t>
      </w:r>
      <w:r>
        <w:rPr>
          <w:color w:val="auto"/>
          <w:spacing w:val="0"/>
          <w:sz w:val="30"/>
          <w:szCs w:val="30"/>
          <w:highlight w:val="none"/>
        </w:rPr>
        <w:t>，增强企业发展动力。</w:t>
      </w:r>
    </w:p>
    <w:p w14:paraId="0521F2A0">
      <w:pPr>
        <w:pStyle w:val="4"/>
        <w:bidi w:val="0"/>
        <w:rPr>
          <w:color w:val="auto"/>
          <w:spacing w:val="0"/>
          <w:highlight w:val="none"/>
        </w:rPr>
      </w:pPr>
      <w:bookmarkStart w:id="520" w:name="_Toc3254"/>
      <w:bookmarkStart w:id="521" w:name="_Toc14113"/>
      <w:bookmarkStart w:id="522" w:name="_Toc15831"/>
      <w:bookmarkStart w:id="523" w:name="_Toc1321163648"/>
      <w:bookmarkStart w:id="524" w:name="_Toc25445"/>
      <w:bookmarkStart w:id="525" w:name="_Toc26630"/>
      <w:bookmarkStart w:id="526" w:name="_Toc205363223"/>
      <w:bookmarkStart w:id="527" w:name="_Toc16693"/>
      <w:bookmarkStart w:id="528" w:name="_Toc205207147"/>
      <w:bookmarkStart w:id="529" w:name="_Toc18370"/>
      <w:bookmarkStart w:id="530" w:name="_Toc446783976"/>
      <w:bookmarkStart w:id="531" w:name="_Toc16974"/>
      <w:bookmarkStart w:id="532" w:name="_Toc1788737633"/>
      <w:bookmarkStart w:id="533" w:name="_Toc3604"/>
      <w:r>
        <w:rPr>
          <w:rFonts w:hint="eastAsia"/>
          <w:color w:val="auto"/>
          <w:spacing w:val="0"/>
          <w:highlight w:val="none"/>
          <w:lang w:eastAsia="zh-CN"/>
        </w:rPr>
        <w:t>三、</w:t>
      </w:r>
      <w:r>
        <w:rPr>
          <w:color w:val="auto"/>
          <w:spacing w:val="0"/>
          <w:highlight w:val="none"/>
        </w:rPr>
        <w:t>筑牢</w:t>
      </w:r>
      <w:r>
        <w:rPr>
          <w:rFonts w:hint="eastAsia"/>
          <w:color w:val="auto"/>
          <w:spacing w:val="0"/>
          <w:highlight w:val="none"/>
          <w:lang w:val="en-US" w:eastAsia="zh-CN"/>
        </w:rPr>
        <w:t>数字安全</w:t>
      </w:r>
      <w:r>
        <w:rPr>
          <w:color w:val="auto"/>
          <w:spacing w:val="0"/>
          <w:highlight w:val="none"/>
        </w:rPr>
        <w:t>屏障，</w:t>
      </w:r>
      <w:r>
        <w:rPr>
          <w:rFonts w:hint="eastAsia"/>
          <w:color w:val="auto"/>
          <w:spacing w:val="0"/>
          <w:highlight w:val="none"/>
          <w:lang w:val="en-US" w:eastAsia="zh-CN"/>
        </w:rPr>
        <w:t>守护</w:t>
      </w:r>
      <w:r>
        <w:rPr>
          <w:color w:val="auto"/>
          <w:spacing w:val="0"/>
          <w:highlight w:val="none"/>
        </w:rPr>
        <w:t>数字发展底线</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02F5907">
      <w:pPr>
        <w:pStyle w:val="14"/>
        <w:keepNext w:val="0"/>
        <w:keepLines w:val="0"/>
        <w:pageBreakBefore w:val="0"/>
        <w:widowControl w:val="0"/>
        <w:kinsoku/>
        <w:wordWrap/>
        <w:overflowPunct/>
        <w:topLinePunct w:val="0"/>
        <w:autoSpaceDE/>
        <w:autoSpaceDN/>
        <w:bidi w:val="0"/>
        <w:snapToGrid/>
        <w:spacing w:line="560" w:lineRule="exact"/>
        <w:jc w:val="both"/>
        <w:textAlignment w:val="auto"/>
        <w:rPr>
          <w:color w:val="auto"/>
          <w:spacing w:val="0"/>
          <w:sz w:val="30"/>
          <w:szCs w:val="30"/>
          <w:highlight w:val="none"/>
        </w:rPr>
      </w:pPr>
      <w:r>
        <w:rPr>
          <w:color w:val="auto"/>
          <w:spacing w:val="0"/>
          <w:sz w:val="30"/>
          <w:szCs w:val="30"/>
          <w:highlight w:val="none"/>
        </w:rPr>
        <w:t>健全数据安全政策体系，制定公共数据安全管理、公共数据隐私保护等管理制度，明确数据安全责任和义务。落实国家数据安全</w:t>
      </w:r>
      <w:r>
        <w:rPr>
          <w:rFonts w:hint="eastAsia"/>
          <w:color w:val="auto"/>
          <w:spacing w:val="0"/>
          <w:sz w:val="30"/>
          <w:szCs w:val="30"/>
          <w:highlight w:val="none"/>
          <w:lang w:eastAsia="zh-CN"/>
        </w:rPr>
        <w:t>“</w:t>
      </w:r>
      <w:r>
        <w:rPr>
          <w:color w:val="auto"/>
          <w:spacing w:val="0"/>
          <w:sz w:val="30"/>
          <w:szCs w:val="30"/>
          <w:highlight w:val="none"/>
        </w:rPr>
        <w:t>主动合规、流通保障”要求</w:t>
      </w:r>
      <w:r>
        <w:rPr>
          <w:rFonts w:hint="eastAsia"/>
          <w:color w:val="auto"/>
          <w:spacing w:val="0"/>
          <w:sz w:val="30"/>
          <w:szCs w:val="30"/>
          <w:highlight w:val="none"/>
          <w:lang w:eastAsia="zh-CN"/>
        </w:rPr>
        <w:t>，</w:t>
      </w:r>
      <w:r>
        <w:rPr>
          <w:color w:val="auto"/>
          <w:spacing w:val="0"/>
          <w:sz w:val="30"/>
          <w:szCs w:val="30"/>
          <w:highlight w:val="none"/>
        </w:rPr>
        <w:t>建立数据安全分级分类管理体系，对生态敏感数据、个人健康数据等实施加密存储和传输</w:t>
      </w:r>
      <w:r>
        <w:rPr>
          <w:rFonts w:hint="eastAsia"/>
          <w:color w:val="auto"/>
          <w:spacing w:val="0"/>
          <w:sz w:val="30"/>
          <w:szCs w:val="30"/>
          <w:highlight w:val="none"/>
          <w:lang w:eastAsia="zh-CN"/>
        </w:rPr>
        <w:t>。</w:t>
      </w:r>
      <w:r>
        <w:rPr>
          <w:color w:val="auto"/>
          <w:spacing w:val="0"/>
          <w:sz w:val="30"/>
          <w:szCs w:val="30"/>
          <w:highlight w:val="none"/>
        </w:rPr>
        <w:t>加强</w:t>
      </w:r>
      <w:r>
        <w:rPr>
          <w:rFonts w:hint="eastAsia"/>
          <w:color w:val="auto"/>
          <w:spacing w:val="0"/>
          <w:sz w:val="30"/>
          <w:szCs w:val="30"/>
          <w:highlight w:val="none"/>
          <w:lang w:val="en-US" w:eastAsia="zh-CN"/>
        </w:rPr>
        <w:t>本</w:t>
      </w:r>
      <w:r>
        <w:rPr>
          <w:color w:val="auto"/>
          <w:spacing w:val="0"/>
          <w:sz w:val="30"/>
          <w:szCs w:val="30"/>
          <w:highlight w:val="none"/>
        </w:rPr>
        <w:t>区关键信息基础设施信息安全保护，将工业互联网、算力中心、政务网络，以及能源、交通等设施纳入重点保护范围。形成“市－区”两级联动响应机制，切实缩短网络安全事件平均发现时间。</w:t>
      </w:r>
    </w:p>
    <w:p w14:paraId="0CAEB244">
      <w:pPr>
        <w:pStyle w:val="14"/>
        <w:keepNext w:val="0"/>
        <w:keepLines w:val="0"/>
        <w:pageBreakBefore w:val="0"/>
        <w:kinsoku/>
        <w:wordWrap/>
        <w:overflowPunct/>
        <w:topLinePunct w:val="0"/>
        <w:autoSpaceDE/>
        <w:autoSpaceDN/>
        <w:bidi w:val="0"/>
        <w:snapToGrid/>
        <w:ind w:left="0" w:leftChars="0" w:firstLine="0" w:firstLineChars="0"/>
        <w:jc w:val="both"/>
        <w:textAlignment w:val="auto"/>
        <w:rPr>
          <w:rFonts w:hint="default"/>
          <w:color w:val="auto"/>
          <w:spacing w:val="0"/>
          <w:sz w:val="30"/>
          <w:szCs w:val="30"/>
          <w:highlight w:val="none"/>
          <w:lang w:val="en-US" w:eastAsia="zh-CN"/>
        </w:rPr>
      </w:pPr>
    </w:p>
    <w:sectPr>
      <w:pgSz w:w="11906" w:h="16838"/>
      <w:pgMar w:top="1962" w:right="1499" w:bottom="1848" w:left="1587" w:header="851" w:footer="992" w:gutter="0"/>
      <w:pgBorders>
        <w:top w:val="none" w:sz="0" w:space="0"/>
        <w:left w:val="none" w:sz="0" w:space="0"/>
        <w:bottom w:val="none" w:sz="0" w:space="0"/>
        <w:right w:val="none" w:sz="0" w:space="0"/>
      </w:pgBorders>
      <w:pgNumType w:fmt="decimal"/>
      <w:cols w:space="720" w:num="1"/>
      <w:docGrid w:type="linesAndChars" w:linePitch="592"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公文小标宋">
    <w:altName w:val="方正小标宋简体"/>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346A">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EFED">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7FBA">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62BB">
    <w:pPr>
      <w:tabs>
        <w:tab w:val="center" w:pos="4153"/>
        <w:tab w:val="center" w:pos="4410"/>
        <w:tab w:val="right" w:pos="8306"/>
        <w:tab w:val="right" w:pos="8940"/>
      </w:tabs>
      <w:jc w:val="left"/>
      <w:rPr>
        <w:rFonts w:hint="eastAsia"/>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D6ED2">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6D6ED2">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r>
      <w:rPr>
        <w:rFonts w:hint="eastAsia"/>
        <w:sz w:val="32"/>
        <w:szCs w:val="32"/>
        <w:lang w:eastAsia="zh-CN"/>
      </w:rPr>
      <w:tab/>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493D">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C66B">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4351">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4131"/>
    <w:multiLevelType w:val="singleLevel"/>
    <w:tmpl w:val="48DC4131"/>
    <w:lvl w:ilvl="0" w:tentative="0">
      <w:start w:val="1"/>
      <w:numFmt w:val="chineseCounting"/>
      <w:pStyle w:val="3"/>
      <w:suff w:val="nothing"/>
      <w:lvlText w:val="%1、"/>
      <w:lvlJc w:val="left"/>
      <w:pPr>
        <w:ind w:left="0" w:firstLine="63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398"/>
  <w:hyphenationZone w:val="360"/>
  <w:drawingGridHorizontalSpacing w:val="158"/>
  <w:drawingGridVerticalSpacing w:val="2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AD"/>
    <w:rsid w:val="00000CC8"/>
    <w:rsid w:val="00004B26"/>
    <w:rsid w:val="000C03C3"/>
    <w:rsid w:val="001516AD"/>
    <w:rsid w:val="001D638E"/>
    <w:rsid w:val="0026578A"/>
    <w:rsid w:val="003243F6"/>
    <w:rsid w:val="003651B8"/>
    <w:rsid w:val="00513984"/>
    <w:rsid w:val="005F481F"/>
    <w:rsid w:val="00630B1C"/>
    <w:rsid w:val="00633BF4"/>
    <w:rsid w:val="00681749"/>
    <w:rsid w:val="006F2EC8"/>
    <w:rsid w:val="0071046D"/>
    <w:rsid w:val="00735EAD"/>
    <w:rsid w:val="00763936"/>
    <w:rsid w:val="00774050"/>
    <w:rsid w:val="007C3E1B"/>
    <w:rsid w:val="00832BA4"/>
    <w:rsid w:val="008718DE"/>
    <w:rsid w:val="00A140A8"/>
    <w:rsid w:val="00A93407"/>
    <w:rsid w:val="00AC249A"/>
    <w:rsid w:val="00B42DA4"/>
    <w:rsid w:val="00C4518E"/>
    <w:rsid w:val="00C57B90"/>
    <w:rsid w:val="00C60EDB"/>
    <w:rsid w:val="00D249AB"/>
    <w:rsid w:val="00D82127"/>
    <w:rsid w:val="00DA3EF2"/>
    <w:rsid w:val="00DC4957"/>
    <w:rsid w:val="01712F36"/>
    <w:rsid w:val="01A35B89"/>
    <w:rsid w:val="027C74A2"/>
    <w:rsid w:val="03771E7F"/>
    <w:rsid w:val="03A03076"/>
    <w:rsid w:val="042653FE"/>
    <w:rsid w:val="04272DC7"/>
    <w:rsid w:val="04A31AD1"/>
    <w:rsid w:val="05526700"/>
    <w:rsid w:val="060A3EB5"/>
    <w:rsid w:val="07FA4A66"/>
    <w:rsid w:val="08B51480"/>
    <w:rsid w:val="09572537"/>
    <w:rsid w:val="0ABE1E8C"/>
    <w:rsid w:val="0AD84659"/>
    <w:rsid w:val="0B0B35D9"/>
    <w:rsid w:val="0B212FD6"/>
    <w:rsid w:val="0CFA47FC"/>
    <w:rsid w:val="0D123903"/>
    <w:rsid w:val="0DAF3366"/>
    <w:rsid w:val="0E646357"/>
    <w:rsid w:val="0EC54E2D"/>
    <w:rsid w:val="10D75483"/>
    <w:rsid w:val="11D711C8"/>
    <w:rsid w:val="11E620D2"/>
    <w:rsid w:val="12093759"/>
    <w:rsid w:val="12EA61CA"/>
    <w:rsid w:val="13186E29"/>
    <w:rsid w:val="137E21DA"/>
    <w:rsid w:val="13CC1508"/>
    <w:rsid w:val="142575ED"/>
    <w:rsid w:val="144B5680"/>
    <w:rsid w:val="14B545B5"/>
    <w:rsid w:val="14CC07D4"/>
    <w:rsid w:val="167F36FB"/>
    <w:rsid w:val="17360268"/>
    <w:rsid w:val="17EB2E69"/>
    <w:rsid w:val="17F825D0"/>
    <w:rsid w:val="18385DC0"/>
    <w:rsid w:val="18895C17"/>
    <w:rsid w:val="18FFCC06"/>
    <w:rsid w:val="19ED483F"/>
    <w:rsid w:val="1A8B01EE"/>
    <w:rsid w:val="1AC15A62"/>
    <w:rsid w:val="1B391A9C"/>
    <w:rsid w:val="1DA90A2F"/>
    <w:rsid w:val="1DC96A32"/>
    <w:rsid w:val="1DFC66C9"/>
    <w:rsid w:val="1EBE18DF"/>
    <w:rsid w:val="1ED96040"/>
    <w:rsid w:val="2146646D"/>
    <w:rsid w:val="216B77CE"/>
    <w:rsid w:val="22451BC7"/>
    <w:rsid w:val="22A74473"/>
    <w:rsid w:val="233139A1"/>
    <w:rsid w:val="23F21AB1"/>
    <w:rsid w:val="240D3AC6"/>
    <w:rsid w:val="24BC2AF1"/>
    <w:rsid w:val="25837ABF"/>
    <w:rsid w:val="25D270FE"/>
    <w:rsid w:val="25F76C83"/>
    <w:rsid w:val="260653E0"/>
    <w:rsid w:val="26900CB8"/>
    <w:rsid w:val="274A3283"/>
    <w:rsid w:val="27971CF6"/>
    <w:rsid w:val="2799357E"/>
    <w:rsid w:val="28620390"/>
    <w:rsid w:val="288439E4"/>
    <w:rsid w:val="29053812"/>
    <w:rsid w:val="2B5E1B66"/>
    <w:rsid w:val="2B603075"/>
    <w:rsid w:val="2E06166C"/>
    <w:rsid w:val="2EFF4953"/>
    <w:rsid w:val="2F5B8E0E"/>
    <w:rsid w:val="2F7B6349"/>
    <w:rsid w:val="3217607D"/>
    <w:rsid w:val="343B467F"/>
    <w:rsid w:val="3460300C"/>
    <w:rsid w:val="34B36A7A"/>
    <w:rsid w:val="350D32EB"/>
    <w:rsid w:val="3606522F"/>
    <w:rsid w:val="36655075"/>
    <w:rsid w:val="36B13048"/>
    <w:rsid w:val="36BD7BB1"/>
    <w:rsid w:val="36EC5832"/>
    <w:rsid w:val="36F1462C"/>
    <w:rsid w:val="37307CBF"/>
    <w:rsid w:val="38904148"/>
    <w:rsid w:val="38B32C98"/>
    <w:rsid w:val="38C205EB"/>
    <w:rsid w:val="39956599"/>
    <w:rsid w:val="39D32C64"/>
    <w:rsid w:val="3A125E82"/>
    <w:rsid w:val="3A612966"/>
    <w:rsid w:val="3A8F3A06"/>
    <w:rsid w:val="3C65466A"/>
    <w:rsid w:val="3D9452BF"/>
    <w:rsid w:val="3EBC211F"/>
    <w:rsid w:val="3FE94505"/>
    <w:rsid w:val="40D150D8"/>
    <w:rsid w:val="433F6572"/>
    <w:rsid w:val="43A56E69"/>
    <w:rsid w:val="447B7A7D"/>
    <w:rsid w:val="453836C1"/>
    <w:rsid w:val="45835E86"/>
    <w:rsid w:val="471822DF"/>
    <w:rsid w:val="480169CF"/>
    <w:rsid w:val="48180DF9"/>
    <w:rsid w:val="485B2D7E"/>
    <w:rsid w:val="48B46CDE"/>
    <w:rsid w:val="4AE052B6"/>
    <w:rsid w:val="4C6C385D"/>
    <w:rsid w:val="4CDB5732"/>
    <w:rsid w:val="4D5E1FF3"/>
    <w:rsid w:val="4D8D54ED"/>
    <w:rsid w:val="4DA43295"/>
    <w:rsid w:val="4E0527AC"/>
    <w:rsid w:val="4F211749"/>
    <w:rsid w:val="4FD82968"/>
    <w:rsid w:val="4FDA2B47"/>
    <w:rsid w:val="4FEC03AE"/>
    <w:rsid w:val="5003076B"/>
    <w:rsid w:val="50C57E01"/>
    <w:rsid w:val="50D54FC5"/>
    <w:rsid w:val="51AC4308"/>
    <w:rsid w:val="53087EDD"/>
    <w:rsid w:val="5467365F"/>
    <w:rsid w:val="55265E4F"/>
    <w:rsid w:val="553D3B07"/>
    <w:rsid w:val="569B164C"/>
    <w:rsid w:val="572E7027"/>
    <w:rsid w:val="585338F8"/>
    <w:rsid w:val="58670D70"/>
    <w:rsid w:val="58BA52C3"/>
    <w:rsid w:val="593D26BE"/>
    <w:rsid w:val="59B34C57"/>
    <w:rsid w:val="5BB7FF9C"/>
    <w:rsid w:val="5D0B25E2"/>
    <w:rsid w:val="5DE317C2"/>
    <w:rsid w:val="5E0523AF"/>
    <w:rsid w:val="5EC93EDE"/>
    <w:rsid w:val="5F2C0AD8"/>
    <w:rsid w:val="60632583"/>
    <w:rsid w:val="60D87214"/>
    <w:rsid w:val="62516C98"/>
    <w:rsid w:val="628C7CD0"/>
    <w:rsid w:val="62F92E8C"/>
    <w:rsid w:val="63FE1C30"/>
    <w:rsid w:val="64207A48"/>
    <w:rsid w:val="64490C2F"/>
    <w:rsid w:val="668C38FC"/>
    <w:rsid w:val="6728015A"/>
    <w:rsid w:val="675663EC"/>
    <w:rsid w:val="682D31E4"/>
    <w:rsid w:val="68B9591C"/>
    <w:rsid w:val="694F4780"/>
    <w:rsid w:val="697B3B5E"/>
    <w:rsid w:val="6A3F48BE"/>
    <w:rsid w:val="6C6658E2"/>
    <w:rsid w:val="6CC22D36"/>
    <w:rsid w:val="6D5B2AAF"/>
    <w:rsid w:val="6FFF0727"/>
    <w:rsid w:val="7075317A"/>
    <w:rsid w:val="70DD49C6"/>
    <w:rsid w:val="710023CA"/>
    <w:rsid w:val="71942413"/>
    <w:rsid w:val="726452BE"/>
    <w:rsid w:val="72925E6B"/>
    <w:rsid w:val="73591E51"/>
    <w:rsid w:val="73AD5E57"/>
    <w:rsid w:val="73DA53CD"/>
    <w:rsid w:val="73E334C8"/>
    <w:rsid w:val="75465F6D"/>
    <w:rsid w:val="756A0E1B"/>
    <w:rsid w:val="75CD4E6C"/>
    <w:rsid w:val="76E01F41"/>
    <w:rsid w:val="78054355"/>
    <w:rsid w:val="7861591B"/>
    <w:rsid w:val="7936053E"/>
    <w:rsid w:val="7A351C8E"/>
    <w:rsid w:val="7A77106A"/>
    <w:rsid w:val="7AB5618B"/>
    <w:rsid w:val="7B8B6270"/>
    <w:rsid w:val="7B94137B"/>
    <w:rsid w:val="7BD345B6"/>
    <w:rsid w:val="7C28031B"/>
    <w:rsid w:val="7C7B5708"/>
    <w:rsid w:val="7CB1239B"/>
    <w:rsid w:val="7D2277F5"/>
    <w:rsid w:val="7E56040D"/>
    <w:rsid w:val="7ED40647"/>
    <w:rsid w:val="7EF24F07"/>
    <w:rsid w:val="7EF27B36"/>
    <w:rsid w:val="7EF82480"/>
    <w:rsid w:val="7F7F31FB"/>
    <w:rsid w:val="7FF90A5C"/>
    <w:rsid w:val="AFDE9EDD"/>
    <w:rsid w:val="B1DFE083"/>
    <w:rsid w:val="BE6F4B53"/>
    <w:rsid w:val="C8DF952C"/>
    <w:rsid w:val="CF591553"/>
    <w:rsid w:val="CFF5D7F1"/>
    <w:rsid w:val="D795C6FB"/>
    <w:rsid w:val="D8FF6B9E"/>
    <w:rsid w:val="F3FF3F55"/>
    <w:rsid w:val="FB3F73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3">
    <w:name w:val="heading 1"/>
    <w:basedOn w:val="1"/>
    <w:next w:val="1"/>
    <w:qFormat/>
    <w:uiPriority w:val="0"/>
    <w:pPr>
      <w:numPr>
        <w:ilvl w:val="0"/>
        <w:numId w:val="1"/>
      </w:numPr>
      <w:spacing w:beforeLines="0" w:afterLines="0" w:line="360" w:lineRule="auto"/>
      <w:ind w:firstLine="638"/>
      <w:jc w:val="center"/>
      <w:outlineLvl w:val="0"/>
    </w:pPr>
    <w:rPr>
      <w:rFonts w:ascii="方正小标宋简体" w:hAnsi="方正小标宋简体" w:eastAsia="方正小标宋简体" w:cs="方正小标宋简体"/>
      <w:b/>
      <w:bCs/>
      <w:color w:val="auto"/>
      <w:kern w:val="44"/>
      <w:sz w:val="36"/>
      <w:szCs w:val="36"/>
      <w:highlight w:val="none"/>
      <w:lang w:val="en-US" w:eastAsia="zh-CN"/>
    </w:rPr>
  </w:style>
  <w:style w:type="paragraph" w:styleId="4">
    <w:name w:val="heading 2"/>
    <w:basedOn w:val="1"/>
    <w:next w:val="1"/>
    <w:link w:val="27"/>
    <w:qFormat/>
    <w:uiPriority w:val="0"/>
    <w:pPr>
      <w:keepNext/>
      <w:keepLines/>
      <w:bidi w:val="0"/>
      <w:spacing w:beforeLines="0" w:beforeAutospacing="0" w:afterLines="0" w:afterAutospacing="0" w:line="560" w:lineRule="exact"/>
      <w:ind w:firstLine="894" w:firstLineChars="200"/>
      <w:outlineLvl w:val="1"/>
    </w:pPr>
    <w:rPr>
      <w:rFonts w:ascii="黑体" w:hAnsi="黑体" w:eastAsia="黑体" w:cs="黑体"/>
      <w:lang w:val="en-US" w:eastAsia="zh-CN"/>
    </w:rPr>
  </w:style>
  <w:style w:type="paragraph" w:styleId="5">
    <w:name w:val="heading 3"/>
    <w:next w:val="1"/>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6">
    <w:name w:val="heading 4"/>
    <w:next w:val="1"/>
    <w:link w:val="28"/>
    <w:qFormat/>
    <w:uiPriority w:val="0"/>
    <w:pPr>
      <w:keepNext/>
      <w:keepLines/>
      <w:spacing w:beforeLines="0" w:beforeAutospacing="0" w:afterLines="0" w:afterAutospacing="0" w:line="560" w:lineRule="exact"/>
      <w:ind w:firstLine="894" w:firstLineChars="200"/>
      <w:outlineLvl w:val="3"/>
    </w:pPr>
    <w:rPr>
      <w:rFonts w:ascii="仿宋_GB2312" w:hAnsi="仿宋_GB2312" w:eastAsia="楷体_GB2312" w:cs="Times New Roman"/>
      <w:b/>
      <w:sz w:val="30"/>
      <w:szCs w:val="32"/>
    </w:rPr>
  </w:style>
  <w:style w:type="paragraph" w:styleId="7">
    <w:name w:val="heading 5"/>
    <w:next w:val="1"/>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8">
    <w:name w:val="heading 6"/>
    <w:next w:val="1"/>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9">
    <w:name w:val="heading 7"/>
    <w:next w:val="1"/>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10">
    <w:name w:val="heading 8"/>
    <w:next w:val="1"/>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1">
    <w:name w:val="heading 9"/>
    <w:next w:val="1"/>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next w:val="1"/>
    <w:link w:val="30"/>
    <w:qFormat/>
    <w:uiPriority w:val="0"/>
    <w:pPr>
      <w:tabs>
        <w:tab w:val="center" w:pos="4153"/>
        <w:tab w:val="right" w:pos="8306"/>
      </w:tabs>
      <w:snapToGrid w:val="0"/>
      <w:jc w:val="left"/>
    </w:pPr>
    <w:rPr>
      <w:sz w:val="18"/>
      <w:szCs w:val="18"/>
    </w:rPr>
  </w:style>
  <w:style w:type="paragraph" w:styleId="12">
    <w:name w:val="Normal Indent"/>
    <w:basedOn w:val="1"/>
    <w:qFormat/>
    <w:uiPriority w:val="99"/>
    <w:pPr>
      <w:ind w:firstLine="420" w:firstLineChars="200"/>
    </w:pPr>
    <w:rPr>
      <w:sz w:val="21"/>
      <w:lang w:val="zh-CN"/>
    </w:rPr>
  </w:style>
  <w:style w:type="paragraph" w:styleId="13">
    <w:name w:val="annotation text"/>
    <w:basedOn w:val="1"/>
    <w:link w:val="29"/>
    <w:qFormat/>
    <w:uiPriority w:val="0"/>
    <w:pPr>
      <w:jc w:val="left"/>
    </w:pPr>
  </w:style>
  <w:style w:type="paragraph" w:styleId="14">
    <w:name w:val="Body Text"/>
    <w:link w:val="35"/>
    <w:qFormat/>
    <w:uiPriority w:val="0"/>
    <w:pPr>
      <w:keepNext w:val="0"/>
      <w:keepLines w:val="0"/>
      <w:pageBreakBefore w:val="0"/>
      <w:widowControl w:val="0"/>
      <w:wordWrap/>
      <w:overflowPunct/>
      <w:topLinePunct w:val="0"/>
      <w:autoSpaceDE/>
      <w:autoSpaceDN/>
      <w:bidi w:val="0"/>
      <w:adjustRightInd/>
      <w:snapToGrid/>
      <w:spacing w:line="560" w:lineRule="exact"/>
      <w:ind w:firstLine="630" w:firstLineChars="200"/>
      <w:jc w:val="both"/>
      <w:textAlignment w:val="auto"/>
    </w:pPr>
    <w:rPr>
      <w:rFonts w:ascii="仿宋_GB2312" w:hAnsi="仿宋_GB2312" w:eastAsia="仿宋_GB2312" w:cs="Times New Roman"/>
      <w:color w:val="auto"/>
      <w:spacing w:val="-6"/>
      <w:sz w:val="30"/>
      <w:szCs w:val="30"/>
      <w:highlight w:val="none"/>
    </w:rPr>
  </w:style>
  <w:style w:type="paragraph" w:styleId="15">
    <w:name w:val="toc 3"/>
    <w:basedOn w:val="1"/>
    <w:next w:val="1"/>
    <w:qFormat/>
    <w:uiPriority w:val="39"/>
    <w:pPr>
      <w:ind w:left="1232" w:leftChars="400"/>
    </w:pPr>
    <w:rPr>
      <w:rFonts w:hint="eastAsia" w:ascii="Times New Roman" w:hAnsi="Times New Roman" w:cs="仿宋_GB2312"/>
      <w:bCs/>
      <w:spacing w:val="-1"/>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rPr>
      <w:rFonts w:hint="eastAsia" w:ascii="Times New Roman" w:hAnsi="Times New Roman"/>
    </w:rPr>
  </w:style>
  <w:style w:type="paragraph" w:styleId="18">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9">
    <w:name w:val="toc 2"/>
    <w:basedOn w:val="1"/>
    <w:next w:val="1"/>
    <w:qFormat/>
    <w:uiPriority w:val="39"/>
    <w:pPr>
      <w:ind w:left="616" w:leftChars="200"/>
    </w:pPr>
    <w:rPr>
      <w:rFonts w:hint="eastAsia" w:ascii="Times New Roman" w:hAnsi="Times New Roman"/>
    </w:rPr>
  </w:style>
  <w:style w:type="paragraph" w:styleId="20">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21">
    <w:name w:val="annotation subject"/>
    <w:basedOn w:val="13"/>
    <w:next w:val="13"/>
    <w:link w:val="31"/>
    <w:qFormat/>
    <w:uiPriority w:val="0"/>
    <w:rPr>
      <w:b/>
      <w:bCs/>
    </w:rPr>
  </w:style>
  <w:style w:type="character" w:styleId="24">
    <w:name w:val="Strong"/>
    <w:qFormat/>
    <w:uiPriority w:val="0"/>
    <w:rPr>
      <w:b/>
    </w:rPr>
  </w:style>
  <w:style w:type="character" w:styleId="25">
    <w:name w:val="Hyperlink"/>
    <w:unhideWhenUsed/>
    <w:qFormat/>
    <w:uiPriority w:val="99"/>
    <w:rPr>
      <w:color w:val="0563C1"/>
      <w:u w:val="single"/>
    </w:rPr>
  </w:style>
  <w:style w:type="character" w:styleId="26">
    <w:name w:val="annotation reference"/>
    <w:qFormat/>
    <w:uiPriority w:val="0"/>
    <w:rPr>
      <w:sz w:val="21"/>
      <w:szCs w:val="21"/>
    </w:rPr>
  </w:style>
  <w:style w:type="character" w:customStyle="1" w:styleId="27">
    <w:name w:val="标题 2 字符"/>
    <w:link w:val="4"/>
    <w:qFormat/>
    <w:uiPriority w:val="0"/>
    <w:rPr>
      <w:rFonts w:ascii="黑体" w:hAnsi="黑体" w:eastAsia="黑体" w:cs="黑体"/>
      <w:sz w:val="32"/>
      <w:szCs w:val="32"/>
      <w:lang w:val="en-US" w:eastAsia="zh-CN"/>
    </w:rPr>
  </w:style>
  <w:style w:type="character" w:customStyle="1" w:styleId="28">
    <w:name w:val="标题 4 字符"/>
    <w:link w:val="6"/>
    <w:qFormat/>
    <w:uiPriority w:val="0"/>
    <w:rPr>
      <w:rFonts w:ascii="Times New Roman" w:hAnsi="Times New Roman" w:eastAsia="楷体_GB2312" w:cs="Times New Roman"/>
      <w:b/>
      <w:kern w:val="2"/>
      <w:sz w:val="30"/>
      <w:szCs w:val="32"/>
      <w:lang w:bidi="ar-SA"/>
    </w:rPr>
  </w:style>
  <w:style w:type="character" w:customStyle="1" w:styleId="29">
    <w:name w:val="批注文字 字符"/>
    <w:link w:val="13"/>
    <w:qFormat/>
    <w:uiPriority w:val="0"/>
    <w:rPr>
      <w:rFonts w:eastAsia="仿宋_GB2312"/>
      <w:kern w:val="2"/>
      <w:sz w:val="32"/>
      <w:szCs w:val="32"/>
    </w:rPr>
  </w:style>
  <w:style w:type="character" w:customStyle="1" w:styleId="30">
    <w:name w:val="页脚 字符"/>
    <w:link w:val="2"/>
    <w:qFormat/>
    <w:uiPriority w:val="0"/>
    <w:rPr>
      <w:rFonts w:eastAsia="仿宋_GB2312"/>
      <w:kern w:val="2"/>
      <w:sz w:val="18"/>
      <w:szCs w:val="18"/>
    </w:rPr>
  </w:style>
  <w:style w:type="character" w:customStyle="1" w:styleId="31">
    <w:name w:val="批注主题 字符"/>
    <w:link w:val="21"/>
    <w:qFormat/>
    <w:uiPriority w:val="0"/>
    <w:rPr>
      <w:rFonts w:eastAsia="仿宋_GB2312"/>
      <w:b/>
      <w:bCs/>
      <w:kern w:val="2"/>
      <w:sz w:val="32"/>
      <w:szCs w:val="32"/>
    </w:rPr>
  </w:style>
  <w:style w:type="paragraph" w:customStyle="1" w:styleId="32">
    <w:name w:val="_Style 31"/>
    <w:unhideWhenUsed/>
    <w:qFormat/>
    <w:uiPriority w:val="99"/>
    <w:rPr>
      <w:rFonts w:ascii="Times New Roman" w:hAnsi="Times New Roman" w:eastAsia="仿宋_GB2312" w:cs="Times New Roman"/>
      <w:kern w:val="2"/>
      <w:sz w:val="32"/>
      <w:szCs w:val="32"/>
      <w:lang w:val="en-US" w:eastAsia="zh-CN" w:bidi="ar-SA"/>
    </w:rPr>
  </w:style>
  <w:style w:type="paragraph" w:customStyle="1" w:styleId="33">
    <w:name w:val="_Style 32"/>
    <w:basedOn w:val="3"/>
    <w:next w:val="1"/>
    <w:unhideWhenUsed/>
    <w:qFormat/>
    <w:uiPriority w:val="39"/>
    <w:pPr>
      <w:widowControl/>
      <w:overflowPunct/>
      <w:topLinePunct w:val="0"/>
      <w:spacing w:before="240" w:line="259" w:lineRule="auto"/>
      <w:ind w:firstLine="0" w:firstLineChars="0"/>
      <w:jc w:val="left"/>
      <w:outlineLvl w:val="9"/>
    </w:pPr>
    <w:rPr>
      <w:rFonts w:ascii="等线 Light" w:hAnsi="等线 Light" w:eastAsia="等线 Light" w:cs="Times New Roman"/>
      <w:color w:val="2F5496"/>
      <w:kern w:val="0"/>
    </w:rPr>
  </w:style>
  <w:style w:type="paragraph" w:customStyle="1" w:styleId="34">
    <w:name w:val="政务正文"/>
    <w:qFormat/>
    <w:uiPriority w:val="0"/>
    <w:pPr>
      <w:spacing w:line="360" w:lineRule="auto"/>
      <w:ind w:firstLine="200" w:firstLineChars="200"/>
      <w:jc w:val="both"/>
    </w:pPr>
    <w:rPr>
      <w:rFonts w:ascii="Times New Roman" w:hAnsi="Times New Roman" w:eastAsia="仿宋_GB2312" w:cs="仿宋_GB2312"/>
      <w:kern w:val="2"/>
      <w:sz w:val="30"/>
      <w:szCs w:val="32"/>
      <w:lang w:val="en-US" w:eastAsia="zh-CN" w:bidi="ar-SA"/>
    </w:rPr>
  </w:style>
  <w:style w:type="character" w:customStyle="1" w:styleId="35">
    <w:name w:val="正文文本 Char"/>
    <w:link w:val="14"/>
    <w:qFormat/>
    <w:uiPriority w:val="0"/>
    <w:rPr>
      <w:rFonts w:ascii="仿宋_GB2312" w:hAnsi="仿宋_GB2312" w:eastAsia="仿宋_GB2312" w:cs="Times New Roman"/>
      <w:color w:val="auto"/>
      <w:spacing w:val="-6"/>
      <w:sz w:val="30"/>
      <w:szCs w:val="30"/>
      <w:highlight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34aec42b-b744-4bf2-bcd9-691a28d389dc</errorID>
      <errorWord xmlns="http://schemas.wps.cn/vas-ai-hub/contract-review">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持以</item>
      </candidateList>
      <explain xmlns="http://schemas.wps.cn/vas-ai-hub/contract-review"/>
      <paraID xmlns="http://schemas.wps.cn/vas-ai-hub/contract-review">390B792B</paraID>
      <start xmlns="http://schemas.wps.cn/vas-ai-hub/contract-review">1</start>
      <end xmlns="http://schemas.wps.cn/vas-ai-hub/contract-review">3</end>
      <status xmlns="http://schemas.wps.cn/vas-ai-hub/contract-review">modified</status>
      <modifiedWord xmlns="http://schemas.wps.cn/vas-ai-hub/contract-review">持以</modifiedWord>
      <trackRevisions xmlns="http://schemas.wps.cn/vas-ai-hub/contract-review">false</trackRevisions>
    </reviewItem>
    <reviewItem xmlns="http://schemas.wps.cn/vas-ai-hub/contract-review">
      <errorID xmlns="http://schemas.wps.cn/vas-ai-hub/contract-review">4aa5c940-0e97-4bc9-8789-bcbe9bdf74e0</errorID>
      <errorWord xmlns="http://schemas.wps.cn/vas-ai-hub/contract-review">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大</item>
      </candidateList>
      <explain xmlns="http://schemas.wps.cn/vas-ai-hub/contract-review">义同“大”（dà），用于“大夬、大王”。</explain>
      <paraID xmlns="http://schemas.wps.cn/vas-ai-hub/contract-review">1DB49FD0</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14954945-3b0d-4069-8d6b-b82fe6d424ea</errorID>
      <errorWord xmlns="http://schemas.wps.cn/vas-ai-hub/contract-review">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大</item>
      </candidateList>
      <explain xmlns="http://schemas.wps.cn/vas-ai-hub/contract-review">义同“大”（dà），用于“大夬、大王”。</explain>
      <paraID xmlns="http://schemas.wps.cn/vas-ai-hub/contract-review">40477316</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e18e4210-da32-4f86-af5c-56255e68b128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4236217C</paraID>
      <start xmlns="http://schemas.wps.cn/vas-ai-hub/contract-review">86</start>
      <end xmlns="http://schemas.wps.cn/vas-ai-hub/contract-review">88</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20b848d7-c451-4b15-8f96-613978f124e6</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对新</item>
      </candidateList>
      <explain xmlns="http://schemas.wps.cn/vas-ai-hub/contract-review"/>
      <paraID xmlns="http://schemas.wps.cn/vas-ai-hub/contract-review">2BE66D30</paraID>
      <start xmlns="http://schemas.wps.cn/vas-ai-hub/contract-review">216</start>
      <end xmlns="http://schemas.wps.cn/vas-ai-hub/contract-review">218</end>
      <status xmlns="http://schemas.wps.cn/vas-ai-hub/contract-review">modified</status>
      <modifiedWord xmlns="http://schemas.wps.cn/vas-ai-hub/contract-review">对新</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71437-eeeb-4034-8b8d-1a446d3a6ba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4738</Words>
  <Characters>4945</Characters>
  <Lines>1</Lines>
  <Paragraphs>1</Paragraphs>
  <TotalTime>6</TotalTime>
  <ScaleCrop>false</ScaleCrop>
  <LinksUpToDate>false</LinksUpToDate>
  <CharactersWithSpaces>4971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2025-04-03T17:06:00Z</dcterms:created>
  <dc:creator>cbtx2</dc:creator>
  <cp:lastModifiedBy>user</cp:lastModifiedBy>
  <cp:lastPrinted>2025-09-20T16:41:00Z</cp:lastPrinted>
  <dcterms:modified xsi:type="dcterms:W3CDTF">2026-02-25T10:41:54Z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eyJoZGlkIjoiNDI1NGQ4MDY4NjMxYWVlMzc3ODM2NDE0MmU1ODUxYzYiLCJ1c2VySWQiOiIyNzI1MTEzNTgifQ==</vt:lpwstr>
  </property>
  <property fmtid="{D5CDD505-2E9C-101B-9397-08002B2CF9AE}" pid="4" name="ICV">
    <vt:lpwstr>3BB54AFDFC81566AAE8AF86891F5C36B_43</vt:lpwstr>
  </property>
</Properties>
</file>